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90402">
      <w:pPr>
        <w:spacing w:line="480" w:lineRule="auto"/>
        <w:jc w:val="center"/>
        <w:rPr>
          <w:rFonts w:ascii="方正小标宋简体" w:hAnsi="方正小标宋简体" w:eastAsia="方正小标宋简体" w:cs="方正小标宋简体"/>
          <w:sz w:val="36"/>
          <w:szCs w:val="40"/>
        </w:rPr>
      </w:pPr>
      <w:r>
        <w:rPr>
          <w:rFonts w:hint="eastAsia" w:ascii="方正小标宋简体" w:hAnsi="方正小标宋简体" w:eastAsia="方正小标宋简体" w:cs="方正小标宋简体"/>
          <w:sz w:val="36"/>
          <w:szCs w:val="40"/>
          <w:lang w:val="en-US" w:eastAsia="zh-CN"/>
        </w:rPr>
        <w:t>2025-2026</w:t>
      </w:r>
      <w:r>
        <w:rPr>
          <w:rFonts w:hint="eastAsia" w:ascii="方正小标宋简体" w:hAnsi="方正小标宋简体" w:eastAsia="方正小标宋简体" w:cs="方正小标宋简体"/>
          <w:sz w:val="36"/>
          <w:szCs w:val="40"/>
        </w:rPr>
        <w:t>辅导员履职评价指标计分表</w:t>
      </w:r>
    </w:p>
    <w:tbl>
      <w:tblPr>
        <w:tblStyle w:val="5"/>
        <w:tblW w:w="14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023"/>
        <w:gridCol w:w="6832"/>
        <w:gridCol w:w="737"/>
        <w:gridCol w:w="3135"/>
        <w:gridCol w:w="1321"/>
        <w:gridCol w:w="1224"/>
      </w:tblGrid>
      <w:tr w14:paraId="28DB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567" w:type="dxa"/>
            <w:vMerge w:val="restart"/>
            <w:vAlign w:val="center"/>
          </w:tcPr>
          <w:p w14:paraId="553C4C74">
            <w:pPr>
              <w:jc w:val="center"/>
              <w:rPr>
                <w:rFonts w:ascii="仿宋" w:hAnsi="仿宋" w:eastAsia="仿宋" w:cs="仿宋"/>
                <w:b/>
                <w:szCs w:val="21"/>
              </w:rPr>
            </w:pPr>
            <w:r>
              <w:rPr>
                <w:rFonts w:hint="eastAsia" w:ascii="仿宋" w:hAnsi="仿宋" w:eastAsia="仿宋" w:cs="仿宋"/>
                <w:b/>
                <w:szCs w:val="21"/>
              </w:rPr>
              <w:t>序号</w:t>
            </w:r>
          </w:p>
        </w:tc>
        <w:tc>
          <w:tcPr>
            <w:tcW w:w="1023" w:type="dxa"/>
            <w:vMerge w:val="restart"/>
            <w:vAlign w:val="center"/>
          </w:tcPr>
          <w:p w14:paraId="790B27DC">
            <w:pPr>
              <w:jc w:val="center"/>
              <w:rPr>
                <w:rFonts w:ascii="仿宋" w:hAnsi="仿宋" w:eastAsia="仿宋" w:cs="仿宋"/>
                <w:b/>
                <w:szCs w:val="21"/>
              </w:rPr>
            </w:pPr>
            <w:r>
              <w:rPr>
                <w:rFonts w:hint="eastAsia" w:ascii="仿宋" w:hAnsi="仿宋" w:eastAsia="仿宋" w:cs="仿宋"/>
                <w:b/>
                <w:szCs w:val="21"/>
              </w:rPr>
              <w:t>评价指标及分值</w:t>
            </w:r>
          </w:p>
        </w:tc>
        <w:tc>
          <w:tcPr>
            <w:tcW w:w="6832" w:type="dxa"/>
            <w:vMerge w:val="restart"/>
            <w:vAlign w:val="center"/>
          </w:tcPr>
          <w:p w14:paraId="6C1D58D2">
            <w:pPr>
              <w:jc w:val="center"/>
              <w:rPr>
                <w:rFonts w:ascii="仿宋" w:hAnsi="仿宋" w:eastAsia="仿宋" w:cs="仿宋"/>
                <w:b/>
                <w:szCs w:val="21"/>
              </w:rPr>
            </w:pPr>
            <w:r>
              <w:rPr>
                <w:rFonts w:hint="eastAsia" w:ascii="仿宋" w:hAnsi="仿宋" w:eastAsia="仿宋" w:cs="仿宋"/>
                <w:b/>
                <w:szCs w:val="21"/>
              </w:rPr>
              <w:t>计分办法</w:t>
            </w:r>
          </w:p>
        </w:tc>
        <w:tc>
          <w:tcPr>
            <w:tcW w:w="3872" w:type="dxa"/>
            <w:gridSpan w:val="2"/>
            <w:vAlign w:val="center"/>
          </w:tcPr>
          <w:p w14:paraId="0295B235">
            <w:pPr>
              <w:jc w:val="center"/>
              <w:rPr>
                <w:rFonts w:ascii="仿宋" w:hAnsi="仿宋" w:eastAsia="仿宋" w:cs="仿宋"/>
                <w:b/>
                <w:szCs w:val="21"/>
              </w:rPr>
            </w:pPr>
            <w:r>
              <w:rPr>
                <w:rFonts w:hint="eastAsia" w:ascii="仿宋" w:hAnsi="仿宋" w:eastAsia="仿宋" w:cs="仿宋"/>
                <w:b/>
                <w:szCs w:val="21"/>
              </w:rPr>
              <w:t>辅导员自评</w:t>
            </w:r>
          </w:p>
        </w:tc>
        <w:tc>
          <w:tcPr>
            <w:tcW w:w="1321" w:type="dxa"/>
            <w:vMerge w:val="restart"/>
            <w:vAlign w:val="center"/>
          </w:tcPr>
          <w:p w14:paraId="4592BD28">
            <w:pPr>
              <w:jc w:val="center"/>
              <w:rPr>
                <w:rFonts w:ascii="仿宋" w:hAnsi="仿宋" w:eastAsia="仿宋" w:cs="仿宋"/>
                <w:b/>
                <w:szCs w:val="21"/>
              </w:rPr>
            </w:pPr>
            <w:r>
              <w:rPr>
                <w:rFonts w:hint="eastAsia" w:ascii="仿宋" w:hAnsi="仿宋" w:eastAsia="仿宋" w:cs="仿宋"/>
                <w:b/>
                <w:szCs w:val="21"/>
              </w:rPr>
              <w:t>学院审定</w:t>
            </w:r>
          </w:p>
        </w:tc>
        <w:tc>
          <w:tcPr>
            <w:tcW w:w="1224" w:type="dxa"/>
            <w:vMerge w:val="restart"/>
            <w:vAlign w:val="center"/>
          </w:tcPr>
          <w:p w14:paraId="33472D32">
            <w:pPr>
              <w:jc w:val="center"/>
              <w:rPr>
                <w:rFonts w:ascii="仿宋" w:hAnsi="仿宋" w:eastAsia="仿宋" w:cs="仿宋"/>
                <w:b/>
                <w:szCs w:val="21"/>
              </w:rPr>
            </w:pPr>
            <w:r>
              <w:rPr>
                <w:rFonts w:hint="eastAsia" w:ascii="仿宋" w:hAnsi="仿宋" w:eastAsia="仿宋" w:cs="仿宋"/>
                <w:b/>
                <w:szCs w:val="21"/>
                <w:lang w:val="en-US" w:eastAsia="zh-CN"/>
              </w:rPr>
              <w:t>学校</w:t>
            </w:r>
            <w:r>
              <w:rPr>
                <w:rFonts w:hint="eastAsia" w:ascii="仿宋" w:hAnsi="仿宋" w:eastAsia="仿宋" w:cs="仿宋"/>
                <w:b/>
                <w:szCs w:val="21"/>
              </w:rPr>
              <w:t>复核</w:t>
            </w:r>
          </w:p>
        </w:tc>
      </w:tr>
      <w:tr w14:paraId="48D5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12" w:hRule="exact"/>
          <w:jc w:val="center"/>
        </w:trPr>
        <w:tc>
          <w:tcPr>
            <w:tcW w:w="567" w:type="dxa"/>
            <w:vMerge w:val="continue"/>
            <w:tcBorders/>
            <w:vAlign w:val="center"/>
          </w:tcPr>
          <w:p w14:paraId="2D19E0B2">
            <w:pPr>
              <w:jc w:val="center"/>
              <w:rPr>
                <w:rFonts w:hint="eastAsia" w:ascii="仿宋" w:hAnsi="仿宋" w:eastAsia="仿宋" w:cs="仿宋"/>
                <w:b/>
                <w:szCs w:val="21"/>
              </w:rPr>
            </w:pPr>
          </w:p>
        </w:tc>
        <w:tc>
          <w:tcPr>
            <w:tcW w:w="1023" w:type="dxa"/>
            <w:vMerge w:val="continue"/>
            <w:tcBorders/>
            <w:vAlign w:val="center"/>
          </w:tcPr>
          <w:p w14:paraId="2A91042C">
            <w:pPr>
              <w:jc w:val="center"/>
              <w:rPr>
                <w:rFonts w:hint="eastAsia" w:ascii="仿宋" w:hAnsi="仿宋" w:eastAsia="仿宋" w:cs="仿宋"/>
                <w:b/>
                <w:szCs w:val="21"/>
              </w:rPr>
            </w:pPr>
          </w:p>
        </w:tc>
        <w:tc>
          <w:tcPr>
            <w:tcW w:w="6832" w:type="dxa"/>
            <w:vMerge w:val="continue"/>
            <w:tcBorders/>
            <w:vAlign w:val="center"/>
          </w:tcPr>
          <w:p w14:paraId="5E944BBC">
            <w:pPr>
              <w:jc w:val="center"/>
              <w:rPr>
                <w:rFonts w:hint="eastAsia" w:ascii="仿宋" w:hAnsi="仿宋" w:eastAsia="仿宋" w:cs="仿宋"/>
                <w:b/>
                <w:szCs w:val="21"/>
              </w:rPr>
            </w:pPr>
          </w:p>
        </w:tc>
        <w:tc>
          <w:tcPr>
            <w:tcW w:w="737" w:type="dxa"/>
            <w:vAlign w:val="center"/>
          </w:tcPr>
          <w:p w14:paraId="252342CB">
            <w:pPr>
              <w:jc w:val="center"/>
              <w:rPr>
                <w:rFonts w:hint="eastAsia" w:ascii="仿宋" w:hAnsi="仿宋" w:eastAsia="仿宋" w:cs="仿宋"/>
                <w:b/>
                <w:szCs w:val="21"/>
                <w:lang w:val="en-US" w:eastAsia="zh-CN"/>
              </w:rPr>
            </w:pPr>
            <w:r>
              <w:rPr>
                <w:rFonts w:hint="eastAsia" w:ascii="仿宋" w:hAnsi="仿宋" w:eastAsia="仿宋" w:cs="仿宋"/>
                <w:b/>
                <w:szCs w:val="21"/>
                <w:lang w:val="en-US" w:eastAsia="zh-CN"/>
              </w:rPr>
              <w:t>得分</w:t>
            </w:r>
          </w:p>
        </w:tc>
        <w:tc>
          <w:tcPr>
            <w:tcW w:w="3135" w:type="dxa"/>
            <w:vAlign w:val="center"/>
          </w:tcPr>
          <w:p w14:paraId="2250094E">
            <w:pPr>
              <w:jc w:val="center"/>
              <w:rPr>
                <w:rFonts w:hint="eastAsia" w:ascii="仿宋" w:hAnsi="仿宋" w:eastAsia="仿宋" w:cs="仿宋"/>
                <w:b/>
                <w:szCs w:val="21"/>
                <w:lang w:val="en-US" w:eastAsia="zh-CN"/>
              </w:rPr>
            </w:pPr>
            <w:r>
              <w:rPr>
                <w:rFonts w:hint="eastAsia" w:ascii="仿宋" w:hAnsi="仿宋" w:eastAsia="仿宋" w:cs="仿宋"/>
                <w:b/>
                <w:szCs w:val="21"/>
                <w:lang w:val="en-US" w:eastAsia="zh-CN"/>
              </w:rPr>
              <w:t>评分依据</w:t>
            </w:r>
          </w:p>
        </w:tc>
        <w:tc>
          <w:tcPr>
            <w:tcW w:w="1321" w:type="dxa"/>
            <w:vMerge w:val="continue"/>
            <w:tcBorders/>
            <w:vAlign w:val="center"/>
          </w:tcPr>
          <w:p w14:paraId="0F8A2BA9">
            <w:pPr>
              <w:jc w:val="center"/>
              <w:rPr>
                <w:rFonts w:hint="eastAsia" w:ascii="仿宋" w:hAnsi="仿宋" w:eastAsia="仿宋" w:cs="仿宋"/>
                <w:b/>
                <w:szCs w:val="21"/>
              </w:rPr>
            </w:pPr>
          </w:p>
        </w:tc>
        <w:tc>
          <w:tcPr>
            <w:tcW w:w="1224" w:type="dxa"/>
            <w:vMerge w:val="continue"/>
            <w:tcBorders/>
            <w:vAlign w:val="center"/>
          </w:tcPr>
          <w:p w14:paraId="6122745A">
            <w:pPr>
              <w:jc w:val="center"/>
              <w:rPr>
                <w:rFonts w:hint="eastAsia" w:ascii="仿宋" w:hAnsi="仿宋" w:eastAsia="仿宋" w:cs="仿宋"/>
                <w:b/>
                <w:szCs w:val="21"/>
                <w:lang w:val="en-US" w:eastAsia="zh-CN"/>
              </w:rPr>
            </w:pPr>
          </w:p>
        </w:tc>
      </w:tr>
      <w:tr w14:paraId="1C53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801" w:hRule="exact"/>
          <w:jc w:val="center"/>
        </w:trPr>
        <w:tc>
          <w:tcPr>
            <w:tcW w:w="567" w:type="dxa"/>
            <w:vAlign w:val="center"/>
          </w:tcPr>
          <w:p w14:paraId="2EB257B2">
            <w:pPr>
              <w:jc w:val="center"/>
              <w:rPr>
                <w:rFonts w:ascii="仿宋" w:hAnsi="仿宋" w:eastAsia="仿宋" w:cs="仿宋"/>
                <w:szCs w:val="21"/>
              </w:rPr>
            </w:pPr>
            <w:r>
              <w:rPr>
                <w:rFonts w:hint="eastAsia" w:ascii="仿宋" w:hAnsi="仿宋" w:eastAsia="仿宋" w:cs="仿宋"/>
                <w:szCs w:val="21"/>
              </w:rPr>
              <w:t>1</w:t>
            </w:r>
          </w:p>
        </w:tc>
        <w:tc>
          <w:tcPr>
            <w:tcW w:w="1023" w:type="dxa"/>
            <w:vAlign w:val="center"/>
          </w:tcPr>
          <w:p w14:paraId="1EB6C455">
            <w:pPr>
              <w:jc w:val="center"/>
              <w:rPr>
                <w:rFonts w:ascii="仿宋" w:hAnsi="仿宋" w:eastAsia="仿宋" w:cs="仿宋"/>
                <w:szCs w:val="21"/>
              </w:rPr>
            </w:pPr>
            <w:r>
              <w:rPr>
                <w:rFonts w:hint="eastAsia" w:ascii="仿宋" w:hAnsi="仿宋" w:eastAsia="仿宋" w:cs="仿宋"/>
                <w:szCs w:val="21"/>
              </w:rPr>
              <w:t>思想理论教育和价值引领(5分)</w:t>
            </w:r>
          </w:p>
        </w:tc>
        <w:tc>
          <w:tcPr>
            <w:tcW w:w="6832" w:type="dxa"/>
            <w:vAlign w:val="center"/>
          </w:tcPr>
          <w:p w14:paraId="5C3031A5">
            <w:pPr>
              <w:ind w:right="33"/>
              <w:rPr>
                <w:rFonts w:ascii="仿宋" w:hAnsi="仿宋" w:eastAsia="仿宋" w:cs="仿宋"/>
                <w:szCs w:val="21"/>
              </w:rPr>
            </w:pPr>
            <w:r>
              <w:rPr>
                <w:rFonts w:hint="eastAsia" w:ascii="仿宋" w:hAnsi="仿宋" w:eastAsia="仿宋" w:cs="仿宋"/>
                <w:szCs w:val="21"/>
              </w:rPr>
              <w:t>1）主题教育4分：按学院要求及时组织开展思想理论教育主题活动得0.5分/次，以</w:t>
            </w:r>
            <w:r>
              <w:rPr>
                <w:rFonts w:ascii="仿宋" w:hAnsi="仿宋" w:eastAsia="仿宋" w:cs="仿宋"/>
                <w:szCs w:val="21"/>
              </w:rPr>
              <w:t>过程记录及总结评估材料</w:t>
            </w:r>
            <w:r>
              <w:rPr>
                <w:rFonts w:hint="eastAsia" w:ascii="仿宋" w:hAnsi="仿宋" w:eastAsia="仿宋" w:cs="仿宋"/>
                <w:szCs w:val="21"/>
              </w:rPr>
              <w:t>为依据,工作手册备查；</w:t>
            </w:r>
          </w:p>
          <w:p w14:paraId="231A873E">
            <w:pPr>
              <w:ind w:right="33"/>
              <w:rPr>
                <w:rFonts w:ascii="仿宋" w:hAnsi="仿宋" w:eastAsia="仿宋" w:cs="仿宋"/>
                <w:szCs w:val="21"/>
              </w:rPr>
            </w:pPr>
            <w:r>
              <w:rPr>
                <w:rFonts w:hint="eastAsia" w:ascii="仿宋" w:hAnsi="仿宋" w:eastAsia="仿宋" w:cs="仿宋"/>
                <w:szCs w:val="21"/>
              </w:rPr>
              <w:t>2）社区活动1分：一站式学生社区开展主题活动得0.5分/次，以</w:t>
            </w:r>
            <w:r>
              <w:rPr>
                <w:rFonts w:hint="eastAsia" w:ascii="仿宋" w:hAnsi="仿宋" w:eastAsia="仿宋" w:cs="仿宋"/>
                <w:szCs w:val="21"/>
                <w:lang w:val="en-US" w:eastAsia="zh-CN"/>
              </w:rPr>
              <w:t>新闻或推送</w:t>
            </w:r>
            <w:r>
              <w:rPr>
                <w:rFonts w:hint="eastAsia" w:ascii="仿宋" w:hAnsi="仿宋" w:eastAsia="仿宋" w:cs="仿宋"/>
                <w:szCs w:val="21"/>
              </w:rPr>
              <w:t>为依据；</w:t>
            </w:r>
          </w:p>
          <w:p w14:paraId="2570E285">
            <w:pPr>
              <w:rPr>
                <w:rFonts w:ascii="仿宋" w:hAnsi="仿宋" w:eastAsia="仿宋" w:cs="仿宋"/>
                <w:szCs w:val="21"/>
              </w:rPr>
            </w:pPr>
            <w:r>
              <w:rPr>
                <w:rFonts w:hint="eastAsia" w:ascii="仿宋" w:hAnsi="仿宋" w:eastAsia="仿宋" w:cs="仿宋"/>
                <w:szCs w:val="21"/>
              </w:rPr>
              <w:t>3)出现不与党中央保持一致的直接认定D档。</w:t>
            </w:r>
          </w:p>
        </w:tc>
        <w:tc>
          <w:tcPr>
            <w:tcW w:w="737" w:type="dxa"/>
            <w:vAlign w:val="center"/>
          </w:tcPr>
          <w:p w14:paraId="413B8FAA">
            <w:pPr>
              <w:rPr>
                <w:rFonts w:ascii="仿宋" w:hAnsi="仿宋" w:eastAsia="仿宋" w:cs="仿宋"/>
                <w:szCs w:val="21"/>
              </w:rPr>
            </w:pPr>
          </w:p>
        </w:tc>
        <w:tc>
          <w:tcPr>
            <w:tcW w:w="3135" w:type="dxa"/>
            <w:vAlign w:val="center"/>
          </w:tcPr>
          <w:p w14:paraId="04B59E18">
            <w:pPr>
              <w:rPr>
                <w:rFonts w:ascii="仿宋" w:hAnsi="仿宋" w:eastAsia="仿宋" w:cs="仿宋"/>
                <w:szCs w:val="21"/>
              </w:rPr>
            </w:pPr>
          </w:p>
        </w:tc>
        <w:tc>
          <w:tcPr>
            <w:tcW w:w="1321" w:type="dxa"/>
            <w:vAlign w:val="center"/>
          </w:tcPr>
          <w:p w14:paraId="5F55DE80">
            <w:pPr>
              <w:rPr>
                <w:rFonts w:ascii="仿宋" w:hAnsi="仿宋" w:eastAsia="仿宋" w:cs="仿宋"/>
                <w:szCs w:val="21"/>
              </w:rPr>
            </w:pPr>
          </w:p>
        </w:tc>
        <w:tc>
          <w:tcPr>
            <w:tcW w:w="1224" w:type="dxa"/>
            <w:vAlign w:val="center"/>
          </w:tcPr>
          <w:p w14:paraId="68A5D4FF">
            <w:pPr>
              <w:jc w:val="center"/>
              <w:rPr>
                <w:rFonts w:ascii="仿宋" w:hAnsi="仿宋" w:eastAsia="仿宋" w:cs="仿宋"/>
                <w:szCs w:val="21"/>
              </w:rPr>
            </w:pPr>
          </w:p>
        </w:tc>
      </w:tr>
      <w:tr w14:paraId="51E3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129" w:hRule="exact"/>
          <w:jc w:val="center"/>
        </w:trPr>
        <w:tc>
          <w:tcPr>
            <w:tcW w:w="567" w:type="dxa"/>
            <w:vAlign w:val="center"/>
          </w:tcPr>
          <w:p w14:paraId="56BE8556">
            <w:pPr>
              <w:jc w:val="center"/>
              <w:rPr>
                <w:rFonts w:ascii="仿宋" w:hAnsi="仿宋" w:eastAsia="仿宋" w:cs="仿宋"/>
                <w:szCs w:val="21"/>
              </w:rPr>
            </w:pPr>
            <w:r>
              <w:rPr>
                <w:rFonts w:hint="eastAsia" w:ascii="仿宋" w:hAnsi="仿宋" w:eastAsia="仿宋" w:cs="仿宋"/>
                <w:szCs w:val="21"/>
              </w:rPr>
              <w:t>2</w:t>
            </w:r>
          </w:p>
        </w:tc>
        <w:tc>
          <w:tcPr>
            <w:tcW w:w="1023" w:type="dxa"/>
            <w:vAlign w:val="center"/>
          </w:tcPr>
          <w:p w14:paraId="5F906701">
            <w:pPr>
              <w:jc w:val="center"/>
              <w:rPr>
                <w:rFonts w:ascii="仿宋" w:hAnsi="仿宋" w:eastAsia="仿宋" w:cs="仿宋"/>
                <w:szCs w:val="21"/>
              </w:rPr>
            </w:pPr>
            <w:r>
              <w:rPr>
                <w:rFonts w:hint="eastAsia" w:ascii="仿宋" w:hAnsi="仿宋" w:eastAsia="仿宋" w:cs="仿宋"/>
                <w:szCs w:val="21"/>
              </w:rPr>
              <w:t>党团和班级建设</w:t>
            </w:r>
          </w:p>
          <w:p w14:paraId="5045D0BD">
            <w:pPr>
              <w:jc w:val="center"/>
              <w:rPr>
                <w:rFonts w:ascii="仿宋" w:hAnsi="仿宋" w:eastAsia="仿宋" w:cs="仿宋"/>
                <w:szCs w:val="21"/>
              </w:rPr>
            </w:pPr>
            <w:r>
              <w:rPr>
                <w:rFonts w:hint="eastAsia" w:ascii="仿宋" w:hAnsi="仿宋" w:eastAsia="仿宋" w:cs="仿宋"/>
                <w:szCs w:val="21"/>
              </w:rPr>
              <w:t>(5分)</w:t>
            </w:r>
          </w:p>
        </w:tc>
        <w:tc>
          <w:tcPr>
            <w:tcW w:w="6832" w:type="dxa"/>
            <w:vAlign w:val="center"/>
          </w:tcPr>
          <w:p w14:paraId="1D8CD0A6">
            <w:pPr>
              <w:rPr>
                <w:rFonts w:ascii="仿宋" w:hAnsi="仿宋" w:eastAsia="仿宋" w:cs="仿宋"/>
                <w:szCs w:val="21"/>
              </w:rPr>
            </w:pPr>
            <w:r>
              <w:rPr>
                <w:rFonts w:hint="eastAsia" w:ascii="仿宋" w:hAnsi="仿宋" w:eastAsia="仿宋" w:cs="仿宋"/>
                <w:szCs w:val="21"/>
              </w:rPr>
              <w:t>1)积极创新党团、班级建设得2分，每学期至少组织一次班级团建活动、一次学生干部考评，以</w:t>
            </w:r>
            <w:r>
              <w:rPr>
                <w:rFonts w:ascii="仿宋" w:hAnsi="仿宋" w:eastAsia="仿宋" w:cs="仿宋"/>
                <w:szCs w:val="21"/>
              </w:rPr>
              <w:t>过程记录及总结评估材料</w:t>
            </w:r>
            <w:r>
              <w:rPr>
                <w:rFonts w:hint="eastAsia" w:ascii="仿宋" w:hAnsi="仿宋" w:eastAsia="仿宋" w:cs="仿宋"/>
                <w:szCs w:val="21"/>
              </w:rPr>
              <w:t>为依据</w:t>
            </w:r>
            <w:r>
              <w:rPr>
                <w:rFonts w:hint="eastAsia" w:ascii="仿宋" w:hAnsi="仿宋" w:eastAsia="仿宋" w:cs="仿宋"/>
                <w:szCs w:val="21"/>
                <w:lang w:eastAsia="zh-CN"/>
              </w:rPr>
              <w:t>，</w:t>
            </w:r>
            <w:r>
              <w:rPr>
                <w:rFonts w:hint="eastAsia" w:ascii="仿宋" w:hAnsi="仿宋" w:eastAsia="仿宋" w:cs="仿宋"/>
                <w:szCs w:val="21"/>
              </w:rPr>
              <w:t>工作手册备查；</w:t>
            </w:r>
          </w:p>
          <w:p w14:paraId="4EEAE361">
            <w:pPr>
              <w:jc w:val="left"/>
              <w:rPr>
                <w:rFonts w:ascii="仿宋" w:hAnsi="仿宋" w:eastAsia="仿宋" w:cs="仿宋"/>
                <w:szCs w:val="21"/>
              </w:rPr>
            </w:pPr>
            <w:r>
              <w:rPr>
                <w:rFonts w:hint="eastAsia" w:ascii="仿宋" w:hAnsi="仿宋" w:eastAsia="仿宋" w:cs="仿宋"/>
                <w:szCs w:val="21"/>
              </w:rPr>
              <w:t>2)班级、团支部获校级先进集体得1分/项,市级得1.5分/项、省级以上得2分/项；</w:t>
            </w:r>
            <w:r>
              <w:rPr>
                <w:rFonts w:ascii="仿宋" w:hAnsi="仿宋" w:eastAsia="仿宋" w:cs="仿宋"/>
                <w:szCs w:val="21"/>
              </w:rPr>
              <w:t>带班学生荣获</w:t>
            </w:r>
            <w:r>
              <w:rPr>
                <w:rFonts w:hint="eastAsia" w:ascii="仿宋" w:hAnsi="仿宋" w:eastAsia="仿宋" w:cs="仿宋"/>
                <w:szCs w:val="21"/>
              </w:rPr>
              <w:t>市级表彰得0.5分/项、省级以上得1分/项</w:t>
            </w:r>
            <w:r>
              <w:rPr>
                <w:rFonts w:ascii="仿宋" w:hAnsi="仿宋" w:eastAsia="仿宋" w:cs="仿宋"/>
                <w:szCs w:val="21"/>
              </w:rPr>
              <w:t>，</w:t>
            </w:r>
            <w:r>
              <w:rPr>
                <w:rFonts w:hint="eastAsia" w:ascii="仿宋" w:hAnsi="仿宋" w:eastAsia="仿宋" w:cs="仿宋"/>
                <w:szCs w:val="21"/>
              </w:rPr>
              <w:t>发展团员得0.2分/人、发展党员得0.3分/人，</w:t>
            </w:r>
            <w:r>
              <w:rPr>
                <w:rFonts w:ascii="仿宋" w:hAnsi="仿宋" w:eastAsia="仿宋" w:cs="仿宋"/>
                <w:szCs w:val="21"/>
              </w:rPr>
              <w:t>该项满</w:t>
            </w:r>
            <w:r>
              <w:rPr>
                <w:rFonts w:hint="eastAsia" w:ascii="仿宋" w:hAnsi="仿宋" w:eastAsia="仿宋" w:cs="仿宋"/>
                <w:szCs w:val="21"/>
              </w:rPr>
              <w:t>分3</w:t>
            </w:r>
            <w:r>
              <w:rPr>
                <w:rFonts w:ascii="仿宋" w:hAnsi="仿宋" w:eastAsia="仿宋" w:cs="仿宋"/>
                <w:szCs w:val="21"/>
              </w:rPr>
              <w:t>分</w:t>
            </w:r>
            <w:r>
              <w:rPr>
                <w:rFonts w:hint="eastAsia" w:ascii="仿宋" w:hAnsi="仿宋" w:eastAsia="仿宋" w:cs="仿宋"/>
                <w:szCs w:val="21"/>
              </w:rPr>
              <w:t>。</w:t>
            </w:r>
          </w:p>
        </w:tc>
        <w:tc>
          <w:tcPr>
            <w:tcW w:w="737" w:type="dxa"/>
            <w:vAlign w:val="center"/>
          </w:tcPr>
          <w:p w14:paraId="5EF453F5">
            <w:pPr>
              <w:rPr>
                <w:rFonts w:ascii="仿宋" w:hAnsi="仿宋" w:eastAsia="仿宋" w:cs="仿宋"/>
                <w:szCs w:val="21"/>
              </w:rPr>
            </w:pPr>
          </w:p>
        </w:tc>
        <w:tc>
          <w:tcPr>
            <w:tcW w:w="3135" w:type="dxa"/>
            <w:vAlign w:val="center"/>
          </w:tcPr>
          <w:p w14:paraId="1C36EE23">
            <w:pPr>
              <w:rPr>
                <w:rFonts w:ascii="仿宋" w:hAnsi="仿宋" w:eastAsia="仿宋" w:cs="仿宋"/>
                <w:szCs w:val="21"/>
              </w:rPr>
            </w:pPr>
          </w:p>
        </w:tc>
        <w:tc>
          <w:tcPr>
            <w:tcW w:w="1321" w:type="dxa"/>
            <w:vAlign w:val="center"/>
          </w:tcPr>
          <w:p w14:paraId="2016EF32">
            <w:pPr>
              <w:rPr>
                <w:rFonts w:ascii="仿宋" w:hAnsi="仿宋" w:eastAsia="仿宋" w:cs="仿宋"/>
                <w:szCs w:val="21"/>
              </w:rPr>
            </w:pPr>
          </w:p>
        </w:tc>
        <w:tc>
          <w:tcPr>
            <w:tcW w:w="1224" w:type="dxa"/>
            <w:vAlign w:val="center"/>
          </w:tcPr>
          <w:p w14:paraId="6D725C17">
            <w:pPr>
              <w:jc w:val="left"/>
              <w:rPr>
                <w:rFonts w:ascii="仿宋" w:hAnsi="仿宋" w:eastAsia="仿宋" w:cs="仿宋"/>
                <w:szCs w:val="21"/>
              </w:rPr>
            </w:pPr>
          </w:p>
        </w:tc>
      </w:tr>
      <w:tr w14:paraId="57A3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320" w:hRule="exact"/>
          <w:jc w:val="center"/>
        </w:trPr>
        <w:tc>
          <w:tcPr>
            <w:tcW w:w="567" w:type="dxa"/>
            <w:vAlign w:val="center"/>
          </w:tcPr>
          <w:p w14:paraId="33686156">
            <w:pPr>
              <w:jc w:val="center"/>
              <w:rPr>
                <w:rFonts w:ascii="仿宋" w:hAnsi="仿宋" w:eastAsia="仿宋" w:cs="仿宋"/>
                <w:szCs w:val="21"/>
              </w:rPr>
            </w:pPr>
            <w:r>
              <w:rPr>
                <w:rFonts w:hint="eastAsia" w:ascii="仿宋" w:hAnsi="仿宋" w:eastAsia="仿宋" w:cs="仿宋"/>
                <w:szCs w:val="21"/>
              </w:rPr>
              <w:t>3</w:t>
            </w:r>
          </w:p>
        </w:tc>
        <w:tc>
          <w:tcPr>
            <w:tcW w:w="1023" w:type="dxa"/>
            <w:vAlign w:val="center"/>
          </w:tcPr>
          <w:p w14:paraId="43D48F4B">
            <w:pPr>
              <w:jc w:val="center"/>
              <w:rPr>
                <w:rFonts w:ascii="仿宋" w:hAnsi="仿宋" w:eastAsia="仿宋" w:cs="仿宋"/>
                <w:szCs w:val="21"/>
              </w:rPr>
            </w:pPr>
            <w:r>
              <w:rPr>
                <w:rFonts w:hint="eastAsia" w:ascii="仿宋" w:hAnsi="仿宋" w:eastAsia="仿宋" w:cs="仿宋"/>
                <w:szCs w:val="21"/>
              </w:rPr>
              <w:t>学风建设</w:t>
            </w:r>
          </w:p>
          <w:p w14:paraId="40CAA854">
            <w:pPr>
              <w:jc w:val="center"/>
              <w:rPr>
                <w:rFonts w:ascii="仿宋" w:hAnsi="仿宋" w:eastAsia="仿宋" w:cs="仿宋"/>
                <w:szCs w:val="21"/>
              </w:rPr>
            </w:pPr>
            <w:r>
              <w:rPr>
                <w:rFonts w:hint="eastAsia" w:ascii="仿宋" w:hAnsi="仿宋" w:eastAsia="仿宋" w:cs="仿宋"/>
                <w:szCs w:val="21"/>
              </w:rPr>
              <w:t>(20分)</w:t>
            </w:r>
          </w:p>
        </w:tc>
        <w:tc>
          <w:tcPr>
            <w:tcW w:w="6832" w:type="dxa"/>
            <w:vAlign w:val="center"/>
          </w:tcPr>
          <w:p w14:paraId="7D979FA4">
            <w:pPr>
              <w:ind w:right="33"/>
              <w:rPr>
                <w:rFonts w:ascii="仿宋" w:hAnsi="仿宋" w:eastAsia="仿宋" w:cs="仿宋"/>
                <w:szCs w:val="21"/>
              </w:rPr>
            </w:pPr>
            <w:r>
              <w:rPr>
                <w:rFonts w:hint="eastAsia" w:ascii="仿宋" w:hAnsi="仿宋" w:eastAsia="仿宋" w:cs="仿宋"/>
                <w:szCs w:val="21"/>
              </w:rPr>
              <w:t>1) 学风建设活动5分：组织开展科技实践等学风建设活动得0.5分/次，以</w:t>
            </w:r>
            <w:r>
              <w:rPr>
                <w:rFonts w:ascii="仿宋" w:hAnsi="仿宋" w:eastAsia="仿宋" w:cs="仿宋"/>
                <w:szCs w:val="21"/>
              </w:rPr>
              <w:t>过程记录及总结评估材料</w:t>
            </w:r>
            <w:r>
              <w:rPr>
                <w:rFonts w:hint="eastAsia" w:ascii="仿宋" w:hAnsi="仿宋" w:eastAsia="仿宋" w:cs="仿宋"/>
                <w:szCs w:val="21"/>
              </w:rPr>
              <w:t>为依据</w:t>
            </w:r>
            <w:r>
              <w:rPr>
                <w:rFonts w:hint="eastAsia" w:ascii="仿宋" w:hAnsi="仿宋" w:eastAsia="仿宋" w:cs="仿宋"/>
                <w:szCs w:val="21"/>
                <w:lang w:eastAsia="zh-CN"/>
              </w:rPr>
              <w:t>，</w:t>
            </w:r>
            <w:r>
              <w:rPr>
                <w:rFonts w:hint="eastAsia" w:ascii="仿宋" w:hAnsi="仿宋" w:eastAsia="仿宋" w:cs="仿宋"/>
                <w:szCs w:val="21"/>
              </w:rPr>
              <w:t>工作手册备查；</w:t>
            </w:r>
          </w:p>
          <w:p w14:paraId="70A98707">
            <w:pPr>
              <w:ind w:right="33"/>
              <w:rPr>
                <w:rFonts w:ascii="仿宋" w:hAnsi="仿宋" w:eastAsia="仿宋" w:cs="仿宋"/>
                <w:szCs w:val="21"/>
              </w:rPr>
            </w:pPr>
            <w:r>
              <w:rPr>
                <w:rFonts w:hint="eastAsia" w:ascii="仿宋" w:hAnsi="仿宋" w:eastAsia="仿宋" w:cs="仿宋"/>
                <w:szCs w:val="21"/>
              </w:rPr>
              <w:t>2）学生成绩10分：学年带班学生</w:t>
            </w:r>
            <w:r>
              <w:rPr>
                <w:rFonts w:hint="eastAsia" w:ascii="仿宋" w:hAnsi="仿宋" w:eastAsia="仿宋" w:cs="仿宋"/>
                <w:szCs w:val="21"/>
                <w:lang w:val="en-US" w:eastAsia="zh-CN"/>
              </w:rPr>
              <w:t>无不及格课程的学生百分比</w:t>
            </w:r>
            <w:r>
              <w:rPr>
                <w:rFonts w:hint="eastAsia" w:ascii="仿宋" w:hAnsi="仿宋" w:eastAsia="仿宋" w:cs="仿宋"/>
                <w:szCs w:val="21"/>
              </w:rPr>
              <w:t>*10；</w:t>
            </w:r>
          </w:p>
          <w:p w14:paraId="5EA3198D">
            <w:pPr>
              <w:ind w:right="33"/>
              <w:rPr>
                <w:rFonts w:ascii="仿宋" w:hAnsi="仿宋" w:eastAsia="仿宋" w:cs="仿宋"/>
                <w:szCs w:val="21"/>
              </w:rPr>
            </w:pPr>
            <w:r>
              <w:rPr>
                <w:rFonts w:hint="eastAsia" w:ascii="仿宋" w:hAnsi="仿宋" w:eastAsia="仿宋" w:cs="仿宋"/>
                <w:szCs w:val="21"/>
              </w:rPr>
              <w:t>3）带班学生获</w:t>
            </w:r>
            <w:r>
              <w:rPr>
                <w:rFonts w:ascii="仿宋" w:hAnsi="仿宋" w:eastAsia="仿宋" w:cs="仿宋"/>
                <w:szCs w:val="21"/>
              </w:rPr>
              <w:t>国家奖学金加</w:t>
            </w:r>
            <w:r>
              <w:rPr>
                <w:rFonts w:hint="eastAsia" w:ascii="仿宋" w:hAnsi="仿宋" w:eastAsia="仿宋" w:cs="仿宋"/>
                <w:szCs w:val="21"/>
                <w:lang w:val="en-US" w:eastAsia="zh-CN"/>
              </w:rPr>
              <w:t>0.5</w:t>
            </w:r>
            <w:r>
              <w:rPr>
                <w:rFonts w:ascii="仿宋" w:hAnsi="仿宋" w:eastAsia="仿宋" w:cs="仿宋"/>
                <w:szCs w:val="21"/>
              </w:rPr>
              <w:t>分</w:t>
            </w:r>
            <w:r>
              <w:rPr>
                <w:rFonts w:hint="eastAsia" w:ascii="仿宋" w:hAnsi="仿宋" w:eastAsia="仿宋" w:cs="仿宋"/>
                <w:szCs w:val="21"/>
              </w:rPr>
              <w:t>/人；</w:t>
            </w:r>
          </w:p>
          <w:p w14:paraId="542E72BB">
            <w:pPr>
              <w:ind w:right="33"/>
              <w:rPr>
                <w:rFonts w:ascii="仿宋" w:hAnsi="仿宋" w:eastAsia="仿宋" w:cs="仿宋"/>
                <w:szCs w:val="21"/>
              </w:rPr>
            </w:pPr>
            <w:r>
              <w:rPr>
                <w:rFonts w:hint="eastAsia" w:ascii="仿宋" w:hAnsi="仿宋" w:eastAsia="仿宋" w:cs="仿宋"/>
                <w:szCs w:val="21"/>
              </w:rPr>
              <w:t>4）</w:t>
            </w:r>
            <w:r>
              <w:rPr>
                <w:rFonts w:ascii="仿宋" w:hAnsi="仿宋" w:eastAsia="仿宋" w:cs="仿宋"/>
                <w:szCs w:val="21"/>
              </w:rPr>
              <w:t>各类</w:t>
            </w:r>
            <w:r>
              <w:rPr>
                <w:rFonts w:hint="eastAsia" w:ascii="仿宋" w:hAnsi="仿宋" w:eastAsia="仿宋" w:cs="仿宋"/>
                <w:szCs w:val="21"/>
              </w:rPr>
              <w:t>专业技能</w:t>
            </w:r>
            <w:r>
              <w:rPr>
                <w:rFonts w:ascii="仿宋" w:hAnsi="仿宋" w:eastAsia="仿宋" w:cs="仿宋"/>
                <w:szCs w:val="21"/>
              </w:rPr>
              <w:t>竞赛获</w:t>
            </w:r>
            <w:r>
              <w:rPr>
                <w:rFonts w:hint="eastAsia" w:ascii="仿宋" w:hAnsi="仿宋" w:eastAsia="仿宋" w:cs="仿宋"/>
                <w:szCs w:val="21"/>
              </w:rPr>
              <w:t>校级一、二、三等奖分别加0.5、0.3、0.2分，市级、</w:t>
            </w:r>
            <w:r>
              <w:rPr>
                <w:rFonts w:ascii="仿宋" w:hAnsi="仿宋" w:eastAsia="仿宋" w:cs="仿宋"/>
                <w:szCs w:val="21"/>
              </w:rPr>
              <w:t>省级</w:t>
            </w:r>
            <w:r>
              <w:rPr>
                <w:rFonts w:hint="eastAsia" w:ascii="仿宋" w:hAnsi="仿宋" w:eastAsia="仿宋" w:cs="仿宋"/>
                <w:szCs w:val="21"/>
              </w:rPr>
              <w:t>、</w:t>
            </w:r>
            <w:r>
              <w:rPr>
                <w:rFonts w:ascii="仿宋" w:hAnsi="仿宋" w:eastAsia="仿宋" w:cs="仿宋"/>
                <w:szCs w:val="21"/>
              </w:rPr>
              <w:t>国家级</w:t>
            </w:r>
            <w:r>
              <w:rPr>
                <w:rFonts w:hint="eastAsia" w:ascii="仿宋" w:hAnsi="仿宋" w:eastAsia="仿宋" w:cs="仿宋"/>
                <w:szCs w:val="21"/>
              </w:rPr>
              <w:t>分别2倍、3倍、4倍加分；</w:t>
            </w:r>
          </w:p>
          <w:p w14:paraId="58CB3FD2">
            <w:pPr>
              <w:ind w:right="33"/>
              <w:rPr>
                <w:rFonts w:ascii="仿宋" w:hAnsi="仿宋" w:eastAsia="仿宋" w:cs="仿宋"/>
                <w:szCs w:val="21"/>
              </w:rPr>
            </w:pPr>
            <w:r>
              <w:rPr>
                <w:rFonts w:hint="eastAsia" w:ascii="仿宋" w:hAnsi="仿宋" w:eastAsia="仿宋" w:cs="仿宋"/>
                <w:szCs w:val="21"/>
              </w:rPr>
              <w:t>4)旷课0.3分/人次、迟到、早退扣0.2分/人次(如所在学院无此项检查记录扣5分)；学生违反考试纪律扣1分/人。</w:t>
            </w:r>
          </w:p>
        </w:tc>
        <w:tc>
          <w:tcPr>
            <w:tcW w:w="737" w:type="dxa"/>
            <w:vAlign w:val="center"/>
          </w:tcPr>
          <w:p w14:paraId="5A1C61D4">
            <w:pPr>
              <w:ind w:right="33"/>
              <w:rPr>
                <w:rFonts w:ascii="仿宋" w:hAnsi="仿宋" w:eastAsia="仿宋" w:cs="仿宋"/>
                <w:szCs w:val="21"/>
              </w:rPr>
            </w:pPr>
          </w:p>
        </w:tc>
        <w:tc>
          <w:tcPr>
            <w:tcW w:w="3135" w:type="dxa"/>
            <w:vAlign w:val="center"/>
          </w:tcPr>
          <w:p w14:paraId="63D5F6FA">
            <w:pPr>
              <w:ind w:right="33"/>
              <w:rPr>
                <w:rFonts w:ascii="仿宋" w:hAnsi="仿宋" w:eastAsia="仿宋" w:cs="仿宋"/>
                <w:szCs w:val="21"/>
              </w:rPr>
            </w:pPr>
          </w:p>
        </w:tc>
        <w:tc>
          <w:tcPr>
            <w:tcW w:w="1321" w:type="dxa"/>
            <w:vAlign w:val="center"/>
          </w:tcPr>
          <w:p w14:paraId="0370D18A">
            <w:pPr>
              <w:ind w:right="33"/>
              <w:rPr>
                <w:rFonts w:ascii="仿宋" w:hAnsi="仿宋" w:eastAsia="仿宋" w:cs="仿宋"/>
                <w:szCs w:val="21"/>
              </w:rPr>
            </w:pPr>
          </w:p>
        </w:tc>
        <w:tc>
          <w:tcPr>
            <w:tcW w:w="1224" w:type="dxa"/>
            <w:vAlign w:val="center"/>
          </w:tcPr>
          <w:p w14:paraId="2EF2CBB5">
            <w:pPr>
              <w:jc w:val="center"/>
              <w:rPr>
                <w:rFonts w:ascii="仿宋" w:hAnsi="仿宋" w:eastAsia="仿宋" w:cs="仿宋"/>
                <w:szCs w:val="21"/>
              </w:rPr>
            </w:pPr>
          </w:p>
        </w:tc>
      </w:tr>
      <w:tr w14:paraId="0C7D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262" w:hRule="exact"/>
          <w:jc w:val="center"/>
        </w:trPr>
        <w:tc>
          <w:tcPr>
            <w:tcW w:w="567" w:type="dxa"/>
            <w:vAlign w:val="center"/>
          </w:tcPr>
          <w:p w14:paraId="2B9CD8F1">
            <w:pPr>
              <w:jc w:val="center"/>
              <w:rPr>
                <w:rFonts w:ascii="仿宋" w:hAnsi="仿宋" w:eastAsia="仿宋" w:cs="仿宋"/>
                <w:szCs w:val="21"/>
              </w:rPr>
            </w:pPr>
            <w:r>
              <w:rPr>
                <w:rFonts w:hint="eastAsia" w:ascii="仿宋" w:hAnsi="仿宋" w:eastAsia="仿宋" w:cs="仿宋"/>
                <w:szCs w:val="21"/>
              </w:rPr>
              <w:t>4</w:t>
            </w:r>
          </w:p>
        </w:tc>
        <w:tc>
          <w:tcPr>
            <w:tcW w:w="1023" w:type="dxa"/>
            <w:vAlign w:val="center"/>
          </w:tcPr>
          <w:p w14:paraId="49B7CDD6">
            <w:pPr>
              <w:jc w:val="center"/>
              <w:rPr>
                <w:rFonts w:ascii="仿宋" w:hAnsi="仿宋" w:eastAsia="仿宋" w:cs="仿宋"/>
                <w:szCs w:val="21"/>
              </w:rPr>
            </w:pPr>
            <w:r>
              <w:rPr>
                <w:rFonts w:hint="eastAsia" w:ascii="仿宋" w:hAnsi="仿宋" w:eastAsia="仿宋" w:cs="仿宋"/>
                <w:szCs w:val="21"/>
              </w:rPr>
              <w:t>学生日常事务管理</w:t>
            </w:r>
          </w:p>
          <w:p w14:paraId="554169C6">
            <w:pPr>
              <w:jc w:val="center"/>
              <w:rPr>
                <w:rFonts w:ascii="仿宋" w:hAnsi="仿宋" w:eastAsia="仿宋" w:cs="仿宋"/>
                <w:szCs w:val="21"/>
              </w:rPr>
            </w:pPr>
            <w:r>
              <w:rPr>
                <w:rFonts w:hint="eastAsia" w:ascii="仿宋" w:hAnsi="仿宋" w:eastAsia="仿宋" w:cs="仿宋"/>
                <w:szCs w:val="21"/>
              </w:rPr>
              <w:t>(30分)</w:t>
            </w:r>
          </w:p>
        </w:tc>
        <w:tc>
          <w:tcPr>
            <w:tcW w:w="6832" w:type="dxa"/>
            <w:vAlign w:val="center"/>
          </w:tcPr>
          <w:p w14:paraId="39D77677">
            <w:pPr>
              <w:ind w:right="33"/>
              <w:rPr>
                <w:rFonts w:ascii="仿宋" w:hAnsi="仿宋" w:eastAsia="仿宋" w:cs="仿宋"/>
                <w:szCs w:val="21"/>
              </w:rPr>
            </w:pPr>
            <w:r>
              <w:rPr>
                <w:rFonts w:hint="eastAsia" w:ascii="仿宋" w:hAnsi="仿宋" w:eastAsia="仿宋" w:cs="仿宋"/>
                <w:szCs w:val="21"/>
              </w:rPr>
              <w:t>1)工作组织参与和上报材料等高质准时得10分，否则扣1分/次；</w:t>
            </w:r>
          </w:p>
          <w:p w14:paraId="5D987904">
            <w:pPr>
              <w:ind w:right="33"/>
              <w:rPr>
                <w:rFonts w:ascii="仿宋" w:hAnsi="仿宋" w:eastAsia="仿宋" w:cs="仿宋"/>
                <w:szCs w:val="21"/>
              </w:rPr>
            </w:pPr>
            <w:r>
              <w:rPr>
                <w:rFonts w:hint="eastAsia" w:ascii="仿宋" w:hAnsi="仿宋" w:eastAsia="仿宋" w:cs="仿宋"/>
                <w:szCs w:val="21"/>
              </w:rPr>
              <w:t>2)全面掌握困难学生并实施针对性帮扶得5分，有名册</w:t>
            </w:r>
            <w:r>
              <w:rPr>
                <w:rFonts w:hint="eastAsia" w:ascii="仿宋" w:hAnsi="仿宋" w:eastAsia="仿宋" w:cs="仿宋"/>
                <w:szCs w:val="21"/>
                <w:lang w:eastAsia="zh-CN"/>
              </w:rPr>
              <w:t>、</w:t>
            </w:r>
            <w:r>
              <w:rPr>
                <w:rFonts w:hint="eastAsia" w:ascii="仿宋" w:hAnsi="仿宋" w:eastAsia="仿宋" w:cs="仿宋"/>
                <w:szCs w:val="21"/>
              </w:rPr>
              <w:t>有对应帮扶记录，以工作手册为据；</w:t>
            </w:r>
          </w:p>
          <w:p w14:paraId="5B88CC0B">
            <w:pPr>
              <w:ind w:right="33"/>
              <w:rPr>
                <w:rFonts w:ascii="仿宋" w:hAnsi="仿宋" w:eastAsia="仿宋" w:cs="仿宋"/>
                <w:szCs w:val="21"/>
              </w:rPr>
            </w:pPr>
            <w:r>
              <w:rPr>
                <w:rFonts w:hint="eastAsia" w:ascii="仿宋" w:hAnsi="仿宋" w:eastAsia="仿宋" w:cs="仿宋"/>
                <w:szCs w:val="21"/>
              </w:rPr>
              <w:t>3）每月与学生谈心谈话次数达20人次得5分，平均每月少1人次扣0.5分，以工作手册为据；</w:t>
            </w:r>
          </w:p>
          <w:p w14:paraId="0B8F1981">
            <w:pPr>
              <w:ind w:right="33"/>
              <w:rPr>
                <w:rFonts w:ascii="仿宋" w:hAnsi="仿宋" w:eastAsia="仿宋" w:cs="仿宋"/>
                <w:szCs w:val="21"/>
              </w:rPr>
            </w:pPr>
            <w:r>
              <w:rPr>
                <w:rFonts w:hint="eastAsia" w:ascii="仿宋" w:hAnsi="仿宋" w:eastAsia="仿宋" w:cs="仿宋"/>
                <w:szCs w:val="21"/>
              </w:rPr>
              <w:t>4）宿舍成绩10分：宿舍成绩=宿舍总成绩/宿舍总间数（宿舍总成绩计算方法：及格宿舍得4分，一星宿舍得6分、每增一星加1分），取学年两学期的平均成绩；</w:t>
            </w:r>
          </w:p>
          <w:p w14:paraId="32C19C98">
            <w:pPr>
              <w:ind w:right="33"/>
              <w:rPr>
                <w:rFonts w:ascii="仿宋" w:hAnsi="仿宋" w:eastAsia="仿宋" w:cs="仿宋"/>
                <w:szCs w:val="21"/>
              </w:rPr>
            </w:pPr>
            <w:r>
              <w:rPr>
                <w:rFonts w:hint="eastAsia" w:ascii="仿宋" w:hAnsi="仿宋" w:eastAsia="仿宋" w:cs="仿宋"/>
                <w:szCs w:val="21"/>
              </w:rPr>
              <w:t>5)学生资助、评奖评优等被投诉并查实扣1分/次；</w:t>
            </w:r>
          </w:p>
          <w:p w14:paraId="101C6172">
            <w:pPr>
              <w:ind w:right="33"/>
              <w:rPr>
                <w:rFonts w:ascii="仿宋" w:hAnsi="仿宋" w:eastAsia="仿宋" w:cs="仿宋"/>
                <w:szCs w:val="21"/>
              </w:rPr>
            </w:pPr>
            <w:r>
              <w:rPr>
                <w:rFonts w:hint="eastAsia" w:ascii="仿宋" w:hAnsi="仿宋" w:eastAsia="仿宋" w:cs="仿宋"/>
                <w:szCs w:val="21"/>
              </w:rPr>
              <w:t>6)学生不文明现象、公寓违规等被通报扣0.2分/次；</w:t>
            </w:r>
          </w:p>
          <w:p w14:paraId="025CE392">
            <w:pPr>
              <w:ind w:right="33"/>
              <w:rPr>
                <w:rFonts w:ascii="仿宋" w:hAnsi="仿宋" w:eastAsia="仿宋" w:cs="仿宋"/>
                <w:szCs w:val="21"/>
              </w:rPr>
            </w:pPr>
            <w:r>
              <w:rPr>
                <w:rFonts w:hint="eastAsia" w:ascii="仿宋" w:hAnsi="仿宋" w:eastAsia="仿宋" w:cs="仿宋"/>
                <w:szCs w:val="21"/>
              </w:rPr>
              <w:t>7)认真落实接诉即办，出现辅导员可解决的投诉扣1分/次；</w:t>
            </w:r>
          </w:p>
          <w:p w14:paraId="6834ECB8">
            <w:pPr>
              <w:ind w:right="33"/>
              <w:rPr>
                <w:rFonts w:ascii="仿宋" w:hAnsi="仿宋" w:eastAsia="仿宋" w:cs="仿宋"/>
                <w:szCs w:val="21"/>
              </w:rPr>
            </w:pPr>
            <w:r>
              <w:rPr>
                <w:rFonts w:hint="eastAsia" w:ascii="仿宋" w:hAnsi="仿宋" w:eastAsia="仿宋" w:cs="仿宋"/>
                <w:szCs w:val="21"/>
              </w:rPr>
              <w:t>8)未按时值班扣2分/次，全年累计5次获因未按时值班发生重大事故直接认定D档。</w:t>
            </w:r>
          </w:p>
        </w:tc>
        <w:tc>
          <w:tcPr>
            <w:tcW w:w="737" w:type="dxa"/>
            <w:vAlign w:val="center"/>
          </w:tcPr>
          <w:p w14:paraId="416EF796">
            <w:pPr>
              <w:ind w:right="33"/>
              <w:rPr>
                <w:rFonts w:ascii="仿宋" w:hAnsi="仿宋" w:eastAsia="仿宋" w:cs="仿宋"/>
                <w:szCs w:val="21"/>
              </w:rPr>
            </w:pPr>
          </w:p>
        </w:tc>
        <w:tc>
          <w:tcPr>
            <w:tcW w:w="3135" w:type="dxa"/>
            <w:vAlign w:val="center"/>
          </w:tcPr>
          <w:p w14:paraId="69931463">
            <w:pPr>
              <w:ind w:right="33"/>
              <w:rPr>
                <w:rFonts w:ascii="仿宋" w:hAnsi="仿宋" w:eastAsia="仿宋" w:cs="仿宋"/>
                <w:szCs w:val="21"/>
              </w:rPr>
            </w:pPr>
            <w:bookmarkStart w:id="0" w:name="_GoBack"/>
            <w:bookmarkEnd w:id="0"/>
          </w:p>
        </w:tc>
        <w:tc>
          <w:tcPr>
            <w:tcW w:w="1321" w:type="dxa"/>
            <w:vAlign w:val="center"/>
          </w:tcPr>
          <w:p w14:paraId="4AA85D24">
            <w:pPr>
              <w:ind w:right="33"/>
              <w:rPr>
                <w:rFonts w:ascii="仿宋" w:hAnsi="仿宋" w:eastAsia="仿宋" w:cs="仿宋"/>
                <w:szCs w:val="21"/>
              </w:rPr>
            </w:pPr>
          </w:p>
        </w:tc>
        <w:tc>
          <w:tcPr>
            <w:tcW w:w="1224" w:type="dxa"/>
            <w:vAlign w:val="center"/>
          </w:tcPr>
          <w:p w14:paraId="5A3E6ADC">
            <w:pPr>
              <w:ind w:right="33"/>
              <w:rPr>
                <w:rFonts w:ascii="仿宋" w:hAnsi="仿宋" w:eastAsia="仿宋" w:cs="仿宋"/>
                <w:szCs w:val="21"/>
              </w:rPr>
            </w:pPr>
          </w:p>
        </w:tc>
      </w:tr>
      <w:tr w14:paraId="5EAC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745" w:hRule="exact"/>
          <w:jc w:val="center"/>
        </w:trPr>
        <w:tc>
          <w:tcPr>
            <w:tcW w:w="567" w:type="dxa"/>
            <w:vAlign w:val="center"/>
          </w:tcPr>
          <w:p w14:paraId="354C9CEC">
            <w:pPr>
              <w:jc w:val="center"/>
              <w:rPr>
                <w:rFonts w:ascii="仿宋" w:hAnsi="仿宋" w:eastAsia="仿宋" w:cs="仿宋"/>
                <w:szCs w:val="21"/>
              </w:rPr>
            </w:pPr>
            <w:r>
              <w:rPr>
                <w:rFonts w:hint="eastAsia" w:ascii="仿宋" w:hAnsi="仿宋" w:eastAsia="仿宋" w:cs="仿宋"/>
                <w:szCs w:val="21"/>
              </w:rPr>
              <w:t>5</w:t>
            </w:r>
          </w:p>
        </w:tc>
        <w:tc>
          <w:tcPr>
            <w:tcW w:w="1023" w:type="dxa"/>
            <w:vAlign w:val="center"/>
          </w:tcPr>
          <w:p w14:paraId="7C8109AF">
            <w:pPr>
              <w:jc w:val="center"/>
              <w:rPr>
                <w:rFonts w:ascii="仿宋" w:hAnsi="仿宋" w:eastAsia="仿宋" w:cs="仿宋"/>
                <w:szCs w:val="21"/>
              </w:rPr>
            </w:pPr>
            <w:r>
              <w:rPr>
                <w:rFonts w:hint="eastAsia" w:ascii="仿宋" w:hAnsi="仿宋" w:eastAsia="仿宋" w:cs="仿宋"/>
                <w:szCs w:val="21"/>
              </w:rPr>
              <w:t>学生心理健康教育</w:t>
            </w:r>
          </w:p>
          <w:p w14:paraId="0C10F6F0">
            <w:pPr>
              <w:jc w:val="center"/>
              <w:rPr>
                <w:rFonts w:ascii="仿宋" w:hAnsi="仿宋" w:eastAsia="仿宋" w:cs="仿宋"/>
                <w:szCs w:val="21"/>
              </w:rPr>
            </w:pPr>
            <w:r>
              <w:rPr>
                <w:rFonts w:hint="eastAsia" w:ascii="仿宋" w:hAnsi="仿宋" w:eastAsia="仿宋" w:cs="仿宋"/>
                <w:szCs w:val="21"/>
              </w:rPr>
              <w:t>与咨询(10分)</w:t>
            </w:r>
          </w:p>
        </w:tc>
        <w:tc>
          <w:tcPr>
            <w:tcW w:w="6832" w:type="dxa"/>
            <w:vAlign w:val="center"/>
          </w:tcPr>
          <w:p w14:paraId="6381B46C">
            <w:pPr>
              <w:ind w:right="33"/>
              <w:rPr>
                <w:rFonts w:ascii="仿宋" w:hAnsi="仿宋" w:eastAsia="仿宋" w:cs="仿宋"/>
                <w:szCs w:val="21"/>
              </w:rPr>
            </w:pPr>
            <w:r>
              <w:rPr>
                <w:rFonts w:hint="eastAsia" w:ascii="仿宋" w:hAnsi="仿宋" w:eastAsia="仿宋" w:cs="仿宋"/>
                <w:szCs w:val="21"/>
              </w:rPr>
              <w:t>1)按学校要求及时组织开展学生心理健康教育每学期至少两次2次得2分，否则扣0.5分/次，以</w:t>
            </w:r>
            <w:r>
              <w:rPr>
                <w:rFonts w:ascii="仿宋" w:hAnsi="仿宋" w:eastAsia="仿宋" w:cs="仿宋"/>
                <w:szCs w:val="21"/>
              </w:rPr>
              <w:t>过程记录及总结评估材料</w:t>
            </w:r>
            <w:r>
              <w:rPr>
                <w:rFonts w:hint="eastAsia" w:ascii="仿宋" w:hAnsi="仿宋" w:eastAsia="仿宋" w:cs="仿宋"/>
                <w:szCs w:val="21"/>
              </w:rPr>
              <w:t>为依据,工作手册备查；</w:t>
            </w:r>
          </w:p>
          <w:p w14:paraId="42F7EF35">
            <w:pPr>
              <w:ind w:right="33"/>
              <w:rPr>
                <w:rFonts w:ascii="仿宋" w:hAnsi="仿宋" w:eastAsia="仿宋" w:cs="仿宋"/>
                <w:szCs w:val="21"/>
              </w:rPr>
            </w:pPr>
            <w:r>
              <w:rPr>
                <w:rFonts w:hint="eastAsia" w:ascii="仿宋" w:hAnsi="仿宋" w:eastAsia="仿宋" w:cs="仿宋"/>
                <w:szCs w:val="21"/>
              </w:rPr>
              <w:t>2)做好排查、疏导并按时上交学生心理状况月报表得4分，否则扣0.5分/次；每月重点关注学生有重点关注行动得4分，缺1人次扣0.2分，以月报表和工作手册为依据；</w:t>
            </w:r>
          </w:p>
          <w:p w14:paraId="637FD01A">
            <w:pPr>
              <w:jc w:val="left"/>
              <w:rPr>
                <w:rFonts w:ascii="仿宋" w:hAnsi="仿宋" w:eastAsia="仿宋" w:cs="仿宋"/>
                <w:szCs w:val="21"/>
              </w:rPr>
            </w:pPr>
            <w:r>
              <w:rPr>
                <w:rFonts w:hint="eastAsia" w:ascii="仿宋" w:hAnsi="仿宋" w:eastAsia="仿宋" w:cs="仿宋"/>
                <w:szCs w:val="21"/>
              </w:rPr>
              <w:t>3)出现心理事件处理不及时、不得当扣2分/次。造成严重后果的直接认定D档。</w:t>
            </w:r>
          </w:p>
        </w:tc>
        <w:tc>
          <w:tcPr>
            <w:tcW w:w="737" w:type="dxa"/>
            <w:vAlign w:val="center"/>
          </w:tcPr>
          <w:p w14:paraId="7522BFA3">
            <w:pPr>
              <w:ind w:right="33"/>
              <w:rPr>
                <w:rFonts w:ascii="仿宋" w:hAnsi="仿宋" w:eastAsia="仿宋" w:cs="仿宋"/>
                <w:szCs w:val="21"/>
              </w:rPr>
            </w:pPr>
          </w:p>
        </w:tc>
        <w:tc>
          <w:tcPr>
            <w:tcW w:w="3135" w:type="dxa"/>
            <w:vAlign w:val="center"/>
          </w:tcPr>
          <w:p w14:paraId="45D24E58">
            <w:pPr>
              <w:ind w:right="33"/>
              <w:rPr>
                <w:rFonts w:ascii="仿宋" w:hAnsi="仿宋" w:eastAsia="仿宋" w:cs="仿宋"/>
                <w:szCs w:val="21"/>
              </w:rPr>
            </w:pPr>
          </w:p>
        </w:tc>
        <w:tc>
          <w:tcPr>
            <w:tcW w:w="1321" w:type="dxa"/>
            <w:vAlign w:val="center"/>
          </w:tcPr>
          <w:p w14:paraId="64B4332A">
            <w:pPr>
              <w:ind w:right="33"/>
              <w:rPr>
                <w:rFonts w:ascii="仿宋" w:hAnsi="仿宋" w:eastAsia="仿宋" w:cs="仿宋"/>
                <w:szCs w:val="21"/>
              </w:rPr>
            </w:pPr>
          </w:p>
        </w:tc>
        <w:tc>
          <w:tcPr>
            <w:tcW w:w="1224" w:type="dxa"/>
            <w:vAlign w:val="center"/>
          </w:tcPr>
          <w:p w14:paraId="46D205AC">
            <w:pPr>
              <w:jc w:val="left"/>
              <w:rPr>
                <w:rFonts w:ascii="仿宋" w:hAnsi="仿宋" w:eastAsia="仿宋" w:cs="仿宋"/>
                <w:szCs w:val="21"/>
              </w:rPr>
            </w:pPr>
          </w:p>
        </w:tc>
      </w:tr>
      <w:tr w14:paraId="7C0B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335" w:hRule="exact"/>
          <w:jc w:val="center"/>
        </w:trPr>
        <w:tc>
          <w:tcPr>
            <w:tcW w:w="567" w:type="dxa"/>
            <w:vAlign w:val="center"/>
          </w:tcPr>
          <w:p w14:paraId="5C4FDCBB">
            <w:pPr>
              <w:jc w:val="center"/>
              <w:rPr>
                <w:rFonts w:ascii="仿宋" w:hAnsi="仿宋" w:eastAsia="仿宋" w:cs="仿宋"/>
                <w:szCs w:val="21"/>
              </w:rPr>
            </w:pPr>
            <w:r>
              <w:rPr>
                <w:rFonts w:hint="eastAsia" w:ascii="仿宋" w:hAnsi="仿宋" w:eastAsia="仿宋" w:cs="仿宋"/>
                <w:szCs w:val="21"/>
              </w:rPr>
              <w:t>6</w:t>
            </w:r>
          </w:p>
        </w:tc>
        <w:tc>
          <w:tcPr>
            <w:tcW w:w="1023" w:type="dxa"/>
            <w:vAlign w:val="center"/>
          </w:tcPr>
          <w:p w14:paraId="62942716">
            <w:pPr>
              <w:jc w:val="center"/>
              <w:rPr>
                <w:rFonts w:ascii="仿宋" w:hAnsi="仿宋" w:eastAsia="仿宋" w:cs="仿宋"/>
                <w:szCs w:val="21"/>
              </w:rPr>
            </w:pPr>
            <w:r>
              <w:rPr>
                <w:rFonts w:hint="eastAsia" w:ascii="仿宋" w:hAnsi="仿宋" w:eastAsia="仿宋" w:cs="仿宋"/>
                <w:szCs w:val="21"/>
              </w:rPr>
              <w:t>网络思想政治教育</w:t>
            </w:r>
          </w:p>
          <w:p w14:paraId="1E29681D">
            <w:pPr>
              <w:jc w:val="center"/>
              <w:rPr>
                <w:rFonts w:ascii="仿宋" w:hAnsi="仿宋" w:eastAsia="仿宋" w:cs="仿宋"/>
                <w:szCs w:val="21"/>
              </w:rPr>
            </w:pPr>
            <w:r>
              <w:rPr>
                <w:rFonts w:hint="eastAsia" w:ascii="仿宋" w:hAnsi="仿宋" w:eastAsia="仿宋" w:cs="仿宋"/>
                <w:szCs w:val="21"/>
              </w:rPr>
              <w:t>(5分)</w:t>
            </w:r>
          </w:p>
        </w:tc>
        <w:tc>
          <w:tcPr>
            <w:tcW w:w="6832" w:type="dxa"/>
            <w:vAlign w:val="center"/>
          </w:tcPr>
          <w:p w14:paraId="074E9159">
            <w:pPr>
              <w:ind w:right="33"/>
              <w:rPr>
                <w:rFonts w:ascii="仿宋" w:hAnsi="仿宋" w:eastAsia="仿宋" w:cs="仿宋"/>
                <w:szCs w:val="21"/>
              </w:rPr>
            </w:pPr>
            <w:r>
              <w:rPr>
                <w:rFonts w:hint="eastAsia" w:ascii="仿宋" w:hAnsi="仿宋" w:eastAsia="仿宋" w:cs="仿宋"/>
                <w:szCs w:val="21"/>
              </w:rPr>
              <w:t>1)构建本人网络思想政治教育阵地且作用明显得1分；</w:t>
            </w:r>
          </w:p>
          <w:p w14:paraId="53C40EDA">
            <w:pPr>
              <w:ind w:right="33"/>
              <w:rPr>
                <w:rFonts w:ascii="仿宋" w:hAnsi="仿宋" w:eastAsia="仿宋" w:cs="仿宋"/>
                <w:szCs w:val="21"/>
              </w:rPr>
            </w:pPr>
            <w:r>
              <w:rPr>
                <w:rFonts w:hint="eastAsia" w:ascii="仿宋" w:hAnsi="仿宋" w:eastAsia="仿宋" w:cs="仿宋"/>
                <w:szCs w:val="21"/>
              </w:rPr>
              <w:t>2)按学校要求及时组织开展网络思想政治教育专题活动4次得4分，以网络作品为准；</w:t>
            </w:r>
          </w:p>
          <w:p w14:paraId="241914B3">
            <w:pPr>
              <w:ind w:right="33"/>
              <w:rPr>
                <w:rFonts w:ascii="仿宋" w:hAnsi="仿宋" w:eastAsia="仿宋" w:cs="仿宋"/>
                <w:szCs w:val="21"/>
              </w:rPr>
            </w:pPr>
            <w:r>
              <w:rPr>
                <w:rFonts w:hint="eastAsia" w:ascii="仿宋" w:hAnsi="仿宋" w:eastAsia="仿宋" w:cs="仿宋"/>
                <w:szCs w:val="21"/>
              </w:rPr>
              <w:t>3)因处理不及时、不得当导致网络舆情扣2分/次，导致危机事件5分/次，造成严重后果的直接认定D档。</w:t>
            </w:r>
          </w:p>
        </w:tc>
        <w:tc>
          <w:tcPr>
            <w:tcW w:w="737" w:type="dxa"/>
            <w:vAlign w:val="center"/>
          </w:tcPr>
          <w:p w14:paraId="11010953">
            <w:pPr>
              <w:ind w:right="33"/>
              <w:rPr>
                <w:rFonts w:ascii="仿宋" w:hAnsi="仿宋" w:eastAsia="仿宋" w:cs="仿宋"/>
                <w:szCs w:val="21"/>
              </w:rPr>
            </w:pPr>
          </w:p>
        </w:tc>
        <w:tc>
          <w:tcPr>
            <w:tcW w:w="3135" w:type="dxa"/>
            <w:vAlign w:val="center"/>
          </w:tcPr>
          <w:p w14:paraId="6B95733F">
            <w:pPr>
              <w:ind w:right="33"/>
              <w:rPr>
                <w:rFonts w:ascii="仿宋" w:hAnsi="仿宋" w:eastAsia="仿宋" w:cs="仿宋"/>
                <w:szCs w:val="21"/>
              </w:rPr>
            </w:pPr>
          </w:p>
        </w:tc>
        <w:tc>
          <w:tcPr>
            <w:tcW w:w="1321" w:type="dxa"/>
            <w:vAlign w:val="center"/>
          </w:tcPr>
          <w:p w14:paraId="05E0DA22">
            <w:pPr>
              <w:ind w:right="33"/>
              <w:rPr>
                <w:rFonts w:ascii="仿宋" w:hAnsi="仿宋" w:eastAsia="仿宋" w:cs="仿宋"/>
                <w:szCs w:val="21"/>
              </w:rPr>
            </w:pPr>
          </w:p>
        </w:tc>
        <w:tc>
          <w:tcPr>
            <w:tcW w:w="1224" w:type="dxa"/>
            <w:vAlign w:val="center"/>
          </w:tcPr>
          <w:p w14:paraId="54F45F73">
            <w:pPr>
              <w:ind w:right="33"/>
              <w:rPr>
                <w:rFonts w:ascii="仿宋" w:hAnsi="仿宋" w:eastAsia="仿宋" w:cs="仿宋"/>
                <w:szCs w:val="21"/>
              </w:rPr>
            </w:pPr>
          </w:p>
        </w:tc>
      </w:tr>
      <w:tr w14:paraId="626D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211" w:hRule="exact"/>
          <w:jc w:val="center"/>
        </w:trPr>
        <w:tc>
          <w:tcPr>
            <w:tcW w:w="567" w:type="dxa"/>
            <w:vAlign w:val="center"/>
          </w:tcPr>
          <w:p w14:paraId="52B2C6AE">
            <w:pPr>
              <w:jc w:val="center"/>
              <w:rPr>
                <w:rFonts w:ascii="仿宋" w:hAnsi="仿宋" w:eastAsia="仿宋" w:cs="仿宋"/>
                <w:szCs w:val="21"/>
              </w:rPr>
            </w:pPr>
            <w:r>
              <w:rPr>
                <w:rFonts w:hint="eastAsia" w:ascii="仿宋" w:hAnsi="仿宋" w:eastAsia="仿宋" w:cs="仿宋"/>
                <w:szCs w:val="21"/>
              </w:rPr>
              <w:t>7</w:t>
            </w:r>
          </w:p>
        </w:tc>
        <w:tc>
          <w:tcPr>
            <w:tcW w:w="1023" w:type="dxa"/>
            <w:vAlign w:val="center"/>
          </w:tcPr>
          <w:p w14:paraId="7084FCEE">
            <w:pPr>
              <w:jc w:val="center"/>
              <w:rPr>
                <w:rFonts w:ascii="仿宋" w:hAnsi="仿宋" w:eastAsia="仿宋" w:cs="仿宋"/>
                <w:szCs w:val="21"/>
              </w:rPr>
            </w:pPr>
            <w:r>
              <w:rPr>
                <w:rFonts w:hint="eastAsia" w:ascii="仿宋" w:hAnsi="仿宋" w:eastAsia="仿宋" w:cs="仿宋"/>
                <w:szCs w:val="21"/>
              </w:rPr>
              <w:t>校园危机事件应对</w:t>
            </w:r>
          </w:p>
          <w:p w14:paraId="3261757D">
            <w:pPr>
              <w:jc w:val="center"/>
              <w:rPr>
                <w:rFonts w:ascii="仿宋" w:hAnsi="仿宋" w:eastAsia="仿宋" w:cs="仿宋"/>
                <w:szCs w:val="21"/>
              </w:rPr>
            </w:pPr>
            <w:r>
              <w:rPr>
                <w:rFonts w:hint="eastAsia" w:ascii="仿宋" w:hAnsi="仿宋" w:eastAsia="仿宋" w:cs="仿宋"/>
                <w:szCs w:val="21"/>
              </w:rPr>
              <w:t>(5分)</w:t>
            </w:r>
          </w:p>
        </w:tc>
        <w:tc>
          <w:tcPr>
            <w:tcW w:w="6832" w:type="dxa"/>
            <w:vAlign w:val="center"/>
          </w:tcPr>
          <w:p w14:paraId="7025DDEB">
            <w:pPr>
              <w:ind w:right="33"/>
              <w:rPr>
                <w:rFonts w:ascii="仿宋" w:hAnsi="仿宋" w:eastAsia="仿宋" w:cs="仿宋"/>
                <w:szCs w:val="21"/>
              </w:rPr>
            </w:pPr>
            <w:r>
              <w:rPr>
                <w:rFonts w:hint="eastAsia" w:ascii="仿宋" w:hAnsi="仿宋" w:eastAsia="仿宋" w:cs="仿宋"/>
                <w:szCs w:val="21"/>
              </w:rPr>
              <w:t>1)安全教育活动5分：按要求及时组织召开安全教育活动得0.5分/次，以</w:t>
            </w:r>
            <w:r>
              <w:rPr>
                <w:rFonts w:ascii="仿宋" w:hAnsi="仿宋" w:eastAsia="仿宋" w:cs="仿宋"/>
                <w:szCs w:val="21"/>
              </w:rPr>
              <w:t>过程记录及总结评估材料</w:t>
            </w:r>
            <w:r>
              <w:rPr>
                <w:rFonts w:hint="eastAsia" w:ascii="仿宋" w:hAnsi="仿宋" w:eastAsia="仿宋" w:cs="仿宋"/>
                <w:szCs w:val="21"/>
              </w:rPr>
              <w:t>为依据,工作手册备查；</w:t>
            </w:r>
          </w:p>
          <w:p w14:paraId="7ECA9964">
            <w:pPr>
              <w:ind w:right="33"/>
              <w:rPr>
                <w:rFonts w:ascii="仿宋" w:hAnsi="仿宋" w:eastAsia="仿宋" w:cs="仿宋"/>
                <w:szCs w:val="21"/>
              </w:rPr>
            </w:pPr>
            <w:r>
              <w:rPr>
                <w:rFonts w:hint="eastAsia" w:ascii="仿宋" w:hAnsi="仿宋" w:eastAsia="仿宋" w:cs="仿宋"/>
                <w:szCs w:val="21"/>
              </w:rPr>
              <w:t>2）所带学生发生被诈骗事件，无论金额大小及被骗形式、途径，发生每件次扣0.5分，如辅导员在事发前对被诈骗学生进行过防诈骗教育的，每件次扣0.2分。</w:t>
            </w:r>
          </w:p>
          <w:p w14:paraId="18812AC2">
            <w:pPr>
              <w:ind w:right="33"/>
              <w:rPr>
                <w:rFonts w:ascii="仿宋" w:hAnsi="仿宋" w:eastAsia="仿宋" w:cs="仿宋"/>
                <w:szCs w:val="21"/>
              </w:rPr>
            </w:pPr>
            <w:r>
              <w:rPr>
                <w:rFonts w:hint="eastAsia" w:ascii="仿宋" w:hAnsi="仿宋" w:eastAsia="仿宋" w:cs="仿宋"/>
                <w:szCs w:val="21"/>
              </w:rPr>
              <w:t>3)因工作失误导致校园危机事件扣5分/次，造成严重后果的直接认定D档。</w:t>
            </w:r>
          </w:p>
        </w:tc>
        <w:tc>
          <w:tcPr>
            <w:tcW w:w="737" w:type="dxa"/>
            <w:vAlign w:val="center"/>
          </w:tcPr>
          <w:p w14:paraId="0C44EB8B">
            <w:pPr>
              <w:ind w:right="33"/>
              <w:rPr>
                <w:rFonts w:ascii="仿宋" w:hAnsi="仿宋" w:eastAsia="仿宋" w:cs="仿宋"/>
                <w:szCs w:val="21"/>
              </w:rPr>
            </w:pPr>
          </w:p>
        </w:tc>
        <w:tc>
          <w:tcPr>
            <w:tcW w:w="3135" w:type="dxa"/>
            <w:vAlign w:val="center"/>
          </w:tcPr>
          <w:p w14:paraId="5D5594C1">
            <w:pPr>
              <w:ind w:right="33"/>
              <w:rPr>
                <w:rFonts w:ascii="仿宋" w:hAnsi="仿宋" w:eastAsia="仿宋" w:cs="仿宋"/>
                <w:szCs w:val="21"/>
              </w:rPr>
            </w:pPr>
          </w:p>
        </w:tc>
        <w:tc>
          <w:tcPr>
            <w:tcW w:w="1321" w:type="dxa"/>
            <w:vAlign w:val="center"/>
          </w:tcPr>
          <w:p w14:paraId="368552AB">
            <w:pPr>
              <w:ind w:right="33"/>
              <w:rPr>
                <w:rFonts w:ascii="仿宋" w:hAnsi="仿宋" w:eastAsia="仿宋" w:cs="仿宋"/>
                <w:szCs w:val="21"/>
              </w:rPr>
            </w:pPr>
          </w:p>
        </w:tc>
        <w:tc>
          <w:tcPr>
            <w:tcW w:w="1224" w:type="dxa"/>
            <w:vAlign w:val="center"/>
          </w:tcPr>
          <w:p w14:paraId="06CB953F">
            <w:pPr>
              <w:ind w:right="33"/>
              <w:rPr>
                <w:rFonts w:ascii="仿宋" w:hAnsi="仿宋" w:eastAsia="仿宋" w:cs="仿宋"/>
                <w:szCs w:val="21"/>
              </w:rPr>
            </w:pPr>
          </w:p>
        </w:tc>
      </w:tr>
      <w:tr w14:paraId="4C0C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523" w:hRule="exact"/>
          <w:jc w:val="center"/>
        </w:trPr>
        <w:tc>
          <w:tcPr>
            <w:tcW w:w="567" w:type="dxa"/>
            <w:vAlign w:val="center"/>
          </w:tcPr>
          <w:p w14:paraId="4A0991E5">
            <w:pPr>
              <w:jc w:val="center"/>
              <w:rPr>
                <w:rFonts w:ascii="仿宋" w:hAnsi="仿宋" w:eastAsia="仿宋" w:cs="仿宋"/>
                <w:szCs w:val="21"/>
              </w:rPr>
            </w:pPr>
            <w:r>
              <w:rPr>
                <w:rFonts w:hint="eastAsia" w:ascii="仿宋" w:hAnsi="仿宋" w:eastAsia="仿宋" w:cs="仿宋"/>
                <w:szCs w:val="21"/>
              </w:rPr>
              <w:t>8</w:t>
            </w:r>
          </w:p>
        </w:tc>
        <w:tc>
          <w:tcPr>
            <w:tcW w:w="1023" w:type="dxa"/>
            <w:vAlign w:val="center"/>
          </w:tcPr>
          <w:p w14:paraId="6684CFA6">
            <w:pPr>
              <w:jc w:val="center"/>
              <w:rPr>
                <w:rFonts w:ascii="仿宋" w:hAnsi="仿宋" w:eastAsia="仿宋" w:cs="仿宋"/>
                <w:szCs w:val="21"/>
              </w:rPr>
            </w:pPr>
            <w:r>
              <w:rPr>
                <w:rFonts w:hint="eastAsia" w:ascii="仿宋" w:hAnsi="仿宋" w:eastAsia="仿宋" w:cs="仿宋"/>
                <w:szCs w:val="21"/>
              </w:rPr>
              <w:t>职业规划与就业创业指导(5分)</w:t>
            </w:r>
          </w:p>
        </w:tc>
        <w:tc>
          <w:tcPr>
            <w:tcW w:w="6832" w:type="dxa"/>
            <w:vAlign w:val="center"/>
          </w:tcPr>
          <w:p w14:paraId="367663D6">
            <w:pPr>
              <w:ind w:right="33"/>
              <w:rPr>
                <w:rFonts w:ascii="仿宋" w:hAnsi="仿宋" w:eastAsia="仿宋" w:cs="仿宋"/>
                <w:szCs w:val="21"/>
              </w:rPr>
            </w:pPr>
            <w:r>
              <w:rPr>
                <w:rFonts w:hint="eastAsia" w:ascii="仿宋" w:hAnsi="仿宋" w:eastAsia="仿宋" w:cs="仿宋"/>
                <w:szCs w:val="21"/>
              </w:rPr>
              <w:t>1)职业生涯规划和就业创业指导2分，以所带学生职业生涯规划大赛和创新创业大赛参赛率计分；</w:t>
            </w:r>
          </w:p>
          <w:p w14:paraId="57F29539">
            <w:pPr>
              <w:ind w:right="33"/>
              <w:rPr>
                <w:rFonts w:ascii="仿宋" w:hAnsi="仿宋" w:eastAsia="仿宋" w:cs="仿宋"/>
                <w:szCs w:val="21"/>
              </w:rPr>
            </w:pPr>
            <w:r>
              <w:rPr>
                <w:rFonts w:hint="eastAsia" w:ascii="仿宋" w:hAnsi="仿宋" w:eastAsia="仿宋" w:cs="仿宋"/>
                <w:szCs w:val="21"/>
              </w:rPr>
              <w:t>2)全程指导参与学生就业指导工作得2分，以工作手册为据：</w:t>
            </w:r>
          </w:p>
          <w:p w14:paraId="1F03AD22">
            <w:pPr>
              <w:ind w:right="33"/>
              <w:rPr>
                <w:rFonts w:ascii="仿宋" w:hAnsi="仿宋" w:eastAsia="仿宋" w:cs="仿宋"/>
                <w:szCs w:val="21"/>
              </w:rPr>
            </w:pPr>
            <w:r>
              <w:rPr>
                <w:rFonts w:hint="eastAsia" w:ascii="仿宋" w:hAnsi="仿宋" w:eastAsia="仿宋" w:cs="仿宋"/>
                <w:szCs w:val="21"/>
              </w:rPr>
              <w:t>3）所在学院或所带班级初次就业率、年终就业率高于学校平均水平分别加0.5分；所带学生成功参加“三支一扶”“西部计划”等基层就业项目加0.2分/人；</w:t>
            </w:r>
          </w:p>
          <w:p w14:paraId="7D5760F2">
            <w:pPr>
              <w:ind w:right="33"/>
              <w:rPr>
                <w:rFonts w:ascii="仿宋" w:hAnsi="仿宋" w:eastAsia="仿宋" w:cs="仿宋"/>
                <w:szCs w:val="21"/>
              </w:rPr>
            </w:pPr>
            <w:r>
              <w:rPr>
                <w:rFonts w:hint="eastAsia" w:ascii="仿宋" w:hAnsi="仿宋" w:eastAsia="仿宋" w:cs="仿宋"/>
                <w:szCs w:val="21"/>
              </w:rPr>
              <w:t>4)就业信息被通报批评扣0.5分/次；所在学院或所带班级初次就业率、年终就业率低于学校平均水平的分别扣0.5分，每超过5%加扣0.5分。</w:t>
            </w:r>
          </w:p>
        </w:tc>
        <w:tc>
          <w:tcPr>
            <w:tcW w:w="737" w:type="dxa"/>
            <w:vAlign w:val="center"/>
          </w:tcPr>
          <w:p w14:paraId="13E05CD5">
            <w:pPr>
              <w:ind w:right="33"/>
              <w:rPr>
                <w:rFonts w:ascii="仿宋" w:hAnsi="仿宋" w:eastAsia="仿宋" w:cs="仿宋"/>
                <w:szCs w:val="21"/>
              </w:rPr>
            </w:pPr>
          </w:p>
        </w:tc>
        <w:tc>
          <w:tcPr>
            <w:tcW w:w="3135" w:type="dxa"/>
            <w:vAlign w:val="center"/>
          </w:tcPr>
          <w:p w14:paraId="0B2253CB">
            <w:pPr>
              <w:ind w:right="33"/>
              <w:rPr>
                <w:rFonts w:ascii="仿宋" w:hAnsi="仿宋" w:eastAsia="仿宋" w:cs="仿宋"/>
                <w:szCs w:val="21"/>
              </w:rPr>
            </w:pPr>
          </w:p>
        </w:tc>
        <w:tc>
          <w:tcPr>
            <w:tcW w:w="1321" w:type="dxa"/>
            <w:vAlign w:val="center"/>
          </w:tcPr>
          <w:p w14:paraId="0573C950">
            <w:pPr>
              <w:ind w:right="33"/>
              <w:rPr>
                <w:rFonts w:ascii="仿宋" w:hAnsi="仿宋" w:eastAsia="仿宋" w:cs="仿宋"/>
                <w:szCs w:val="21"/>
              </w:rPr>
            </w:pPr>
          </w:p>
        </w:tc>
        <w:tc>
          <w:tcPr>
            <w:tcW w:w="1224" w:type="dxa"/>
            <w:vAlign w:val="center"/>
          </w:tcPr>
          <w:p w14:paraId="5B181BC6">
            <w:pPr>
              <w:ind w:right="33"/>
              <w:rPr>
                <w:rFonts w:ascii="仿宋" w:hAnsi="仿宋" w:eastAsia="仿宋" w:cs="仿宋"/>
                <w:szCs w:val="21"/>
              </w:rPr>
            </w:pPr>
          </w:p>
        </w:tc>
      </w:tr>
      <w:tr w14:paraId="76E2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633" w:hRule="exact"/>
          <w:jc w:val="center"/>
        </w:trPr>
        <w:tc>
          <w:tcPr>
            <w:tcW w:w="567" w:type="dxa"/>
            <w:vAlign w:val="center"/>
          </w:tcPr>
          <w:p w14:paraId="62816687">
            <w:pPr>
              <w:jc w:val="center"/>
              <w:rPr>
                <w:rFonts w:ascii="仿宋" w:hAnsi="仿宋" w:eastAsia="仿宋" w:cs="仿宋"/>
                <w:szCs w:val="21"/>
              </w:rPr>
            </w:pPr>
            <w:r>
              <w:rPr>
                <w:rFonts w:hint="eastAsia" w:ascii="仿宋" w:hAnsi="仿宋" w:eastAsia="仿宋" w:cs="仿宋"/>
                <w:szCs w:val="21"/>
              </w:rPr>
              <w:t>9</w:t>
            </w:r>
          </w:p>
        </w:tc>
        <w:tc>
          <w:tcPr>
            <w:tcW w:w="1023" w:type="dxa"/>
            <w:vAlign w:val="center"/>
          </w:tcPr>
          <w:p w14:paraId="1DFA813F">
            <w:pPr>
              <w:jc w:val="center"/>
              <w:rPr>
                <w:rFonts w:ascii="仿宋" w:hAnsi="仿宋" w:eastAsia="仿宋" w:cs="仿宋"/>
                <w:szCs w:val="21"/>
              </w:rPr>
            </w:pPr>
            <w:r>
              <w:rPr>
                <w:rFonts w:hint="eastAsia" w:ascii="仿宋" w:hAnsi="仿宋" w:eastAsia="仿宋" w:cs="仿宋"/>
                <w:szCs w:val="21"/>
              </w:rPr>
              <w:t>理论和实践研究</w:t>
            </w:r>
          </w:p>
          <w:p w14:paraId="76D0B795">
            <w:pPr>
              <w:jc w:val="center"/>
              <w:rPr>
                <w:rFonts w:ascii="仿宋" w:hAnsi="仿宋" w:eastAsia="仿宋" w:cs="仿宋"/>
                <w:szCs w:val="21"/>
              </w:rPr>
            </w:pPr>
            <w:r>
              <w:rPr>
                <w:rFonts w:hint="eastAsia" w:ascii="仿宋" w:hAnsi="仿宋" w:eastAsia="仿宋" w:cs="仿宋"/>
                <w:szCs w:val="21"/>
              </w:rPr>
              <w:t>(5分)</w:t>
            </w:r>
          </w:p>
        </w:tc>
        <w:tc>
          <w:tcPr>
            <w:tcW w:w="6832" w:type="dxa"/>
            <w:vAlign w:val="center"/>
          </w:tcPr>
          <w:p w14:paraId="7DC1A66B">
            <w:pPr>
              <w:ind w:right="33"/>
              <w:rPr>
                <w:rFonts w:ascii="仿宋" w:hAnsi="仿宋" w:eastAsia="仿宋" w:cs="仿宋"/>
                <w:szCs w:val="21"/>
              </w:rPr>
            </w:pPr>
            <w:r>
              <w:rPr>
                <w:rFonts w:hint="eastAsia" w:ascii="仿宋" w:hAnsi="仿宋" w:eastAsia="仿宋" w:cs="仿宋"/>
                <w:szCs w:val="21"/>
              </w:rPr>
              <w:t>1)主持徐生院发[2021]9号文件规定的十至八类思想政治教育课题得3分/项、七至四类及十一类</w:t>
            </w:r>
            <w:r>
              <w:rPr>
                <w:rFonts w:hint="eastAsia" w:ascii="仿宋" w:hAnsi="仿宋" w:eastAsia="仿宋" w:cs="仿宋"/>
                <w:szCs w:val="21"/>
                <w:lang w:val="en-US" w:eastAsia="zh-CN"/>
              </w:rPr>
              <w:t>的</w:t>
            </w:r>
            <w:r>
              <w:rPr>
                <w:rFonts w:hint="eastAsia" w:ascii="仿宋" w:hAnsi="仿宋" w:eastAsia="仿宋" w:cs="仿宋"/>
                <w:szCs w:val="21"/>
              </w:rPr>
              <w:t>得5分/项、三至一类</w:t>
            </w:r>
            <w:r>
              <w:rPr>
                <w:rFonts w:hint="eastAsia" w:ascii="仿宋" w:hAnsi="仿宋" w:eastAsia="仿宋" w:cs="仿宋"/>
                <w:szCs w:val="21"/>
                <w:lang w:val="en-US" w:eastAsia="zh-CN"/>
              </w:rPr>
              <w:t>的</w:t>
            </w:r>
            <w:r>
              <w:rPr>
                <w:rFonts w:hint="eastAsia" w:ascii="仿宋" w:hAnsi="仿宋" w:eastAsia="仿宋" w:cs="仿宋"/>
                <w:szCs w:val="21"/>
              </w:rPr>
              <w:t>直接认定A档；</w:t>
            </w:r>
          </w:p>
          <w:p w14:paraId="2C4A4717">
            <w:pPr>
              <w:ind w:right="33"/>
              <w:rPr>
                <w:rFonts w:hint="eastAsia" w:ascii="仿宋" w:hAnsi="仿宋" w:eastAsia="仿宋" w:cs="仿宋"/>
                <w:szCs w:val="21"/>
              </w:rPr>
            </w:pPr>
            <w:r>
              <w:rPr>
                <w:rFonts w:hint="eastAsia" w:ascii="仿宋" w:hAnsi="仿宋" w:eastAsia="仿宋" w:cs="仿宋"/>
                <w:szCs w:val="21"/>
              </w:rPr>
              <w:t>2)以第一作者发表思想政治教育相关论文得2分/篇，第一著者出版相关著作得5分/项；</w:t>
            </w:r>
          </w:p>
          <w:p w14:paraId="57D27FD6">
            <w:pPr>
              <w:ind w:right="33"/>
              <w:rPr>
                <w:rFonts w:ascii="仿宋" w:hAnsi="仿宋" w:eastAsia="仿宋" w:cs="仿宋"/>
                <w:szCs w:val="21"/>
              </w:rPr>
            </w:pPr>
            <w:r>
              <w:rPr>
                <w:rFonts w:hint="eastAsia" w:ascii="仿宋" w:hAnsi="仿宋" w:eastAsia="仿宋" w:cs="仿宋"/>
                <w:szCs w:val="21"/>
              </w:rPr>
              <w:t>3)参加辅导员</w:t>
            </w:r>
            <w:r>
              <w:rPr>
                <w:rFonts w:hint="eastAsia" w:ascii="仿宋" w:hAnsi="仿宋" w:eastAsia="仿宋" w:cs="仿宋"/>
                <w:szCs w:val="21"/>
                <w:lang w:val="en-US" w:eastAsia="zh-CN"/>
              </w:rPr>
              <w:t>工作</w:t>
            </w:r>
            <w:r>
              <w:rPr>
                <w:rFonts w:hint="eastAsia" w:ascii="仿宋" w:hAnsi="仿宋" w:eastAsia="仿宋" w:cs="仿宋"/>
                <w:szCs w:val="21"/>
              </w:rPr>
              <w:t>相关学术交流活动得1分/次。</w:t>
            </w:r>
          </w:p>
        </w:tc>
        <w:tc>
          <w:tcPr>
            <w:tcW w:w="737" w:type="dxa"/>
            <w:vAlign w:val="center"/>
          </w:tcPr>
          <w:p w14:paraId="2098C349">
            <w:pPr>
              <w:ind w:right="33"/>
              <w:rPr>
                <w:rFonts w:ascii="仿宋" w:hAnsi="仿宋" w:eastAsia="仿宋" w:cs="仿宋"/>
                <w:szCs w:val="21"/>
              </w:rPr>
            </w:pPr>
          </w:p>
        </w:tc>
        <w:tc>
          <w:tcPr>
            <w:tcW w:w="3135" w:type="dxa"/>
            <w:vAlign w:val="center"/>
          </w:tcPr>
          <w:p w14:paraId="2E472D4F">
            <w:pPr>
              <w:ind w:right="33"/>
              <w:rPr>
                <w:rFonts w:ascii="仿宋" w:hAnsi="仿宋" w:eastAsia="仿宋" w:cs="仿宋"/>
                <w:szCs w:val="21"/>
              </w:rPr>
            </w:pPr>
          </w:p>
        </w:tc>
        <w:tc>
          <w:tcPr>
            <w:tcW w:w="1321" w:type="dxa"/>
            <w:vAlign w:val="center"/>
          </w:tcPr>
          <w:p w14:paraId="72E29D7F">
            <w:pPr>
              <w:ind w:right="33"/>
              <w:rPr>
                <w:rFonts w:ascii="仿宋" w:hAnsi="仿宋" w:eastAsia="仿宋" w:cs="仿宋"/>
                <w:szCs w:val="21"/>
              </w:rPr>
            </w:pPr>
          </w:p>
        </w:tc>
        <w:tc>
          <w:tcPr>
            <w:tcW w:w="1224" w:type="dxa"/>
            <w:vAlign w:val="center"/>
          </w:tcPr>
          <w:p w14:paraId="584D948C">
            <w:pPr>
              <w:ind w:right="33"/>
              <w:rPr>
                <w:rFonts w:ascii="仿宋" w:hAnsi="仿宋" w:eastAsia="仿宋" w:cs="仿宋"/>
                <w:szCs w:val="21"/>
              </w:rPr>
            </w:pPr>
          </w:p>
        </w:tc>
      </w:tr>
      <w:tr w14:paraId="5370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538" w:hRule="exact"/>
          <w:jc w:val="center"/>
        </w:trPr>
        <w:tc>
          <w:tcPr>
            <w:tcW w:w="567" w:type="dxa"/>
            <w:vAlign w:val="center"/>
          </w:tcPr>
          <w:p w14:paraId="298582CB">
            <w:pPr>
              <w:pStyle w:val="2"/>
              <w:jc w:val="center"/>
              <w:rPr>
                <w:rFonts w:ascii="仿宋" w:hAnsi="仿宋" w:eastAsia="仿宋" w:cs="仿宋"/>
                <w:sz w:val="21"/>
                <w:szCs w:val="21"/>
              </w:rPr>
            </w:pPr>
            <w:r>
              <w:rPr>
                <w:rFonts w:hint="eastAsia" w:ascii="仿宋" w:hAnsi="仿宋" w:eastAsia="仿宋" w:cs="仿宋"/>
                <w:sz w:val="21"/>
                <w:szCs w:val="21"/>
              </w:rPr>
              <w:t>10</w:t>
            </w:r>
          </w:p>
        </w:tc>
        <w:tc>
          <w:tcPr>
            <w:tcW w:w="1023" w:type="dxa"/>
            <w:vAlign w:val="center"/>
          </w:tcPr>
          <w:p w14:paraId="104B16D8">
            <w:pPr>
              <w:jc w:val="center"/>
              <w:rPr>
                <w:rFonts w:ascii="仿宋" w:hAnsi="仿宋" w:eastAsia="仿宋" w:cs="仿宋"/>
                <w:szCs w:val="21"/>
              </w:rPr>
            </w:pPr>
            <w:r>
              <w:rPr>
                <w:rFonts w:hint="eastAsia" w:ascii="仿宋" w:hAnsi="仿宋" w:eastAsia="仿宋" w:cs="仿宋"/>
                <w:szCs w:val="21"/>
              </w:rPr>
              <w:t>特色工作</w:t>
            </w:r>
          </w:p>
          <w:p w14:paraId="771B06E4">
            <w:pPr>
              <w:jc w:val="center"/>
              <w:rPr>
                <w:rFonts w:ascii="仿宋" w:hAnsi="仿宋" w:eastAsia="仿宋" w:cs="仿宋"/>
                <w:szCs w:val="21"/>
              </w:rPr>
            </w:pPr>
            <w:r>
              <w:rPr>
                <w:rFonts w:hint="eastAsia" w:ascii="仿宋" w:hAnsi="仿宋" w:eastAsia="仿宋" w:cs="仿宋"/>
                <w:szCs w:val="21"/>
              </w:rPr>
              <w:t>(10分)</w:t>
            </w:r>
          </w:p>
        </w:tc>
        <w:tc>
          <w:tcPr>
            <w:tcW w:w="6832" w:type="dxa"/>
            <w:vAlign w:val="center"/>
          </w:tcPr>
          <w:p w14:paraId="596DDC51">
            <w:pPr>
              <w:ind w:right="33"/>
              <w:rPr>
                <w:rFonts w:ascii="仿宋" w:hAnsi="仿宋" w:eastAsia="仿宋" w:cs="仿宋"/>
                <w:szCs w:val="21"/>
              </w:rPr>
            </w:pPr>
            <w:r>
              <w:rPr>
                <w:rFonts w:hint="eastAsia" w:ascii="仿宋" w:hAnsi="仿宋" w:eastAsia="仿宋" w:cs="仿宋"/>
                <w:szCs w:val="21"/>
              </w:rPr>
              <w:t>1)参加辅导员大赛获校级</w:t>
            </w:r>
            <w:r>
              <w:rPr>
                <w:rFonts w:ascii="仿宋" w:hAnsi="仿宋" w:eastAsia="仿宋" w:cs="仿宋"/>
                <w:szCs w:val="21"/>
              </w:rPr>
              <w:t>一、二、三等奖分别加</w:t>
            </w:r>
            <w:r>
              <w:rPr>
                <w:rFonts w:hint="eastAsia" w:ascii="仿宋" w:hAnsi="仿宋" w:eastAsia="仿宋" w:cs="仿宋"/>
                <w:szCs w:val="21"/>
              </w:rPr>
              <w:t>2</w:t>
            </w:r>
            <w:r>
              <w:rPr>
                <w:rFonts w:ascii="仿宋" w:hAnsi="仿宋" w:eastAsia="仿宋" w:cs="仿宋"/>
                <w:szCs w:val="21"/>
              </w:rPr>
              <w:t>分、</w:t>
            </w:r>
            <w:r>
              <w:rPr>
                <w:rFonts w:hint="eastAsia" w:ascii="仿宋" w:hAnsi="仿宋" w:eastAsia="仿宋" w:cs="仿宋"/>
                <w:szCs w:val="21"/>
              </w:rPr>
              <w:t>1.5</w:t>
            </w:r>
            <w:r>
              <w:rPr>
                <w:rFonts w:ascii="仿宋" w:hAnsi="仿宋" w:eastAsia="仿宋" w:cs="仿宋"/>
                <w:szCs w:val="21"/>
              </w:rPr>
              <w:t>分、</w:t>
            </w:r>
            <w:r>
              <w:rPr>
                <w:rFonts w:hint="eastAsia" w:ascii="仿宋" w:hAnsi="仿宋" w:eastAsia="仿宋" w:cs="仿宋"/>
                <w:szCs w:val="21"/>
              </w:rPr>
              <w:t>1</w:t>
            </w:r>
            <w:r>
              <w:rPr>
                <w:rFonts w:ascii="仿宋" w:hAnsi="仿宋" w:eastAsia="仿宋" w:cs="仿宋"/>
                <w:szCs w:val="21"/>
              </w:rPr>
              <w:t>分</w:t>
            </w:r>
            <w:r>
              <w:rPr>
                <w:rFonts w:hint="eastAsia" w:ascii="仿宋" w:hAnsi="仿宋" w:eastAsia="仿宋" w:cs="仿宋"/>
                <w:szCs w:val="21"/>
              </w:rPr>
              <w:t>；参加其他辅导员工作相关比赛获校级</w:t>
            </w:r>
            <w:r>
              <w:rPr>
                <w:rFonts w:ascii="仿宋" w:hAnsi="仿宋" w:eastAsia="仿宋" w:cs="仿宋"/>
                <w:szCs w:val="21"/>
              </w:rPr>
              <w:t>一、二、三等奖分别加</w:t>
            </w:r>
            <w:r>
              <w:rPr>
                <w:rFonts w:hint="eastAsia" w:ascii="仿宋" w:hAnsi="仿宋" w:eastAsia="仿宋" w:cs="仿宋"/>
                <w:szCs w:val="21"/>
              </w:rPr>
              <w:t>1</w:t>
            </w:r>
            <w:r>
              <w:rPr>
                <w:rFonts w:ascii="仿宋" w:hAnsi="仿宋" w:eastAsia="仿宋" w:cs="仿宋"/>
                <w:szCs w:val="21"/>
              </w:rPr>
              <w:t>分、0.8分、0.5分</w:t>
            </w:r>
            <w:r>
              <w:rPr>
                <w:rFonts w:hint="eastAsia" w:ascii="仿宋" w:hAnsi="仿宋" w:eastAsia="仿宋" w:cs="仿宋"/>
                <w:szCs w:val="21"/>
              </w:rPr>
              <w:t>；校级辅导员工作室主持人加2分，其他成员减半加分；市级、省级分别按2、4倍加分(同一成果按最高级计) ，国家级直接认定A档；</w:t>
            </w:r>
          </w:p>
          <w:p w14:paraId="3E3CFFC3">
            <w:pPr>
              <w:ind w:right="33"/>
              <w:rPr>
                <w:rFonts w:ascii="仿宋" w:hAnsi="仿宋" w:eastAsia="仿宋" w:cs="仿宋"/>
                <w:szCs w:val="21"/>
              </w:rPr>
            </w:pPr>
            <w:r>
              <w:rPr>
                <w:rFonts w:hint="eastAsia" w:ascii="仿宋" w:hAnsi="仿宋" w:eastAsia="仿宋" w:cs="仿宋"/>
                <w:szCs w:val="21"/>
              </w:rPr>
              <w:t>2)指导学生参加相关比赛获校级</w:t>
            </w:r>
            <w:r>
              <w:rPr>
                <w:rFonts w:ascii="仿宋" w:hAnsi="仿宋" w:eastAsia="仿宋" w:cs="仿宋"/>
                <w:szCs w:val="21"/>
              </w:rPr>
              <w:t>一、二、三等奖分别加</w:t>
            </w:r>
            <w:r>
              <w:rPr>
                <w:rFonts w:hint="eastAsia" w:ascii="仿宋" w:hAnsi="仿宋" w:eastAsia="仿宋" w:cs="仿宋"/>
                <w:szCs w:val="21"/>
              </w:rPr>
              <w:t>0.5</w:t>
            </w:r>
            <w:r>
              <w:rPr>
                <w:rFonts w:ascii="仿宋" w:hAnsi="仿宋" w:eastAsia="仿宋" w:cs="仿宋"/>
                <w:szCs w:val="21"/>
              </w:rPr>
              <w:t>分、</w:t>
            </w:r>
            <w:r>
              <w:rPr>
                <w:rFonts w:hint="eastAsia" w:ascii="仿宋" w:hAnsi="仿宋" w:eastAsia="仿宋" w:cs="仿宋"/>
                <w:szCs w:val="21"/>
              </w:rPr>
              <w:t>0.3</w:t>
            </w:r>
            <w:r>
              <w:rPr>
                <w:rFonts w:ascii="仿宋" w:hAnsi="仿宋" w:eastAsia="仿宋" w:cs="仿宋"/>
                <w:szCs w:val="21"/>
              </w:rPr>
              <w:t>分、0</w:t>
            </w:r>
            <w:r>
              <w:rPr>
                <w:rFonts w:hint="eastAsia" w:ascii="仿宋" w:hAnsi="仿宋" w:eastAsia="仿宋" w:cs="仿宋"/>
                <w:szCs w:val="21"/>
              </w:rPr>
              <w:t>.2</w:t>
            </w:r>
            <w:r>
              <w:rPr>
                <w:rFonts w:ascii="仿宋" w:hAnsi="仿宋" w:eastAsia="仿宋" w:cs="仿宋"/>
                <w:szCs w:val="21"/>
              </w:rPr>
              <w:t>分</w:t>
            </w:r>
            <w:r>
              <w:rPr>
                <w:rFonts w:hint="eastAsia" w:ascii="仿宋" w:hAnsi="仿宋" w:eastAsia="仿宋" w:cs="仿宋"/>
                <w:szCs w:val="21"/>
              </w:rPr>
              <w:t>，市级、省级、国家级分别按2、3、4倍加分(同一成果按最高级计) ；</w:t>
            </w:r>
          </w:p>
          <w:p w14:paraId="76939FE1">
            <w:pPr>
              <w:ind w:right="33"/>
              <w:rPr>
                <w:rFonts w:ascii="仿宋" w:hAnsi="仿宋" w:eastAsia="仿宋" w:cs="仿宋"/>
                <w:szCs w:val="21"/>
              </w:rPr>
            </w:pPr>
            <w:r>
              <w:rPr>
                <w:rFonts w:hint="eastAsia" w:ascii="仿宋" w:hAnsi="仿宋" w:eastAsia="仿宋" w:cs="仿宋"/>
                <w:szCs w:val="21"/>
              </w:rPr>
              <w:t>3)形成的学生工作案例及做法被校外主流媒体报到得2分/项。</w:t>
            </w:r>
          </w:p>
        </w:tc>
        <w:tc>
          <w:tcPr>
            <w:tcW w:w="737" w:type="dxa"/>
            <w:vAlign w:val="center"/>
          </w:tcPr>
          <w:p w14:paraId="36CD67C1">
            <w:pPr>
              <w:ind w:right="33"/>
              <w:rPr>
                <w:rFonts w:ascii="仿宋" w:hAnsi="仿宋" w:eastAsia="仿宋" w:cs="仿宋"/>
                <w:szCs w:val="21"/>
              </w:rPr>
            </w:pPr>
          </w:p>
        </w:tc>
        <w:tc>
          <w:tcPr>
            <w:tcW w:w="3135" w:type="dxa"/>
            <w:vAlign w:val="center"/>
          </w:tcPr>
          <w:p w14:paraId="5A06E5D8">
            <w:pPr>
              <w:ind w:right="33"/>
              <w:rPr>
                <w:rFonts w:ascii="仿宋" w:hAnsi="仿宋" w:eastAsia="仿宋" w:cs="仿宋"/>
                <w:szCs w:val="21"/>
              </w:rPr>
            </w:pPr>
          </w:p>
        </w:tc>
        <w:tc>
          <w:tcPr>
            <w:tcW w:w="1321" w:type="dxa"/>
            <w:vAlign w:val="center"/>
          </w:tcPr>
          <w:p w14:paraId="1B0B5ACD">
            <w:pPr>
              <w:ind w:right="33"/>
              <w:rPr>
                <w:rFonts w:ascii="仿宋" w:hAnsi="仿宋" w:eastAsia="仿宋" w:cs="仿宋"/>
                <w:szCs w:val="21"/>
              </w:rPr>
            </w:pPr>
          </w:p>
        </w:tc>
        <w:tc>
          <w:tcPr>
            <w:tcW w:w="1224" w:type="dxa"/>
            <w:vAlign w:val="center"/>
          </w:tcPr>
          <w:p w14:paraId="5BD34EE7">
            <w:pPr>
              <w:ind w:right="33"/>
              <w:rPr>
                <w:rFonts w:ascii="仿宋" w:hAnsi="仿宋" w:eastAsia="仿宋" w:cs="仿宋"/>
                <w:szCs w:val="21"/>
              </w:rPr>
            </w:pPr>
          </w:p>
        </w:tc>
      </w:tr>
    </w:tbl>
    <w:p w14:paraId="01D1CC41">
      <w:pPr>
        <w:rPr>
          <w:rFonts w:ascii="仿宋" w:hAnsi="仿宋" w:eastAsia="仿宋" w:cs="仿宋"/>
        </w:rPr>
      </w:pPr>
      <w:r>
        <w:rPr>
          <w:rFonts w:hint="eastAsia" w:ascii="仿宋" w:hAnsi="仿宋" w:eastAsia="仿宋" w:cs="仿宋"/>
        </w:rPr>
        <w:t>注：1.有严重违反师德师风行为、学校教职工年度考核未达合格等级或其他不适宜从事辅导员工作的情形直接认定D档。</w:t>
      </w:r>
    </w:p>
    <w:p w14:paraId="10C3882B">
      <w:pPr>
        <w:ind w:firstLine="420" w:firstLineChars="200"/>
        <w:rPr>
          <w:rFonts w:ascii="仿宋" w:hAnsi="仿宋" w:eastAsia="仿宋" w:cs="仿宋"/>
        </w:rPr>
      </w:pPr>
      <w:r>
        <w:rPr>
          <w:rFonts w:hint="eastAsia" w:ascii="仿宋" w:hAnsi="仿宋" w:eastAsia="仿宋" w:cs="仿宋"/>
        </w:rPr>
        <w:t>2.每项评价指标的实际得分即为该项评价指标的成绩，得分超过指标分值的按指标分值计。</w:t>
      </w:r>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871FB"/>
    <w:rsid w:val="00033100"/>
    <w:rsid w:val="000335F3"/>
    <w:rsid w:val="00043FEB"/>
    <w:rsid w:val="00074FE8"/>
    <w:rsid w:val="00084772"/>
    <w:rsid w:val="000C65FB"/>
    <w:rsid w:val="00113080"/>
    <w:rsid w:val="00183DBE"/>
    <w:rsid w:val="00196E14"/>
    <w:rsid w:val="001D3705"/>
    <w:rsid w:val="00213553"/>
    <w:rsid w:val="002C2511"/>
    <w:rsid w:val="002E5175"/>
    <w:rsid w:val="002F23A2"/>
    <w:rsid w:val="0030139C"/>
    <w:rsid w:val="00340807"/>
    <w:rsid w:val="00400D93"/>
    <w:rsid w:val="00426EBE"/>
    <w:rsid w:val="00433955"/>
    <w:rsid w:val="00436E90"/>
    <w:rsid w:val="0046323C"/>
    <w:rsid w:val="004D6809"/>
    <w:rsid w:val="00506C84"/>
    <w:rsid w:val="005646E5"/>
    <w:rsid w:val="00586B17"/>
    <w:rsid w:val="005D2A62"/>
    <w:rsid w:val="005D5C58"/>
    <w:rsid w:val="00623ADA"/>
    <w:rsid w:val="006473B4"/>
    <w:rsid w:val="006E5EE9"/>
    <w:rsid w:val="00707FE4"/>
    <w:rsid w:val="007253F6"/>
    <w:rsid w:val="00810C21"/>
    <w:rsid w:val="00822088"/>
    <w:rsid w:val="00853CD5"/>
    <w:rsid w:val="00892705"/>
    <w:rsid w:val="008C593D"/>
    <w:rsid w:val="008E45E9"/>
    <w:rsid w:val="009419EB"/>
    <w:rsid w:val="009A6943"/>
    <w:rsid w:val="009B5AD7"/>
    <w:rsid w:val="00A92562"/>
    <w:rsid w:val="00AA5ACC"/>
    <w:rsid w:val="00AD2DA3"/>
    <w:rsid w:val="00B54489"/>
    <w:rsid w:val="00B56CC8"/>
    <w:rsid w:val="00B753CF"/>
    <w:rsid w:val="00C263FB"/>
    <w:rsid w:val="00C67A3B"/>
    <w:rsid w:val="00CA6EC5"/>
    <w:rsid w:val="00CF370C"/>
    <w:rsid w:val="00D2301F"/>
    <w:rsid w:val="00D7497B"/>
    <w:rsid w:val="00D871FB"/>
    <w:rsid w:val="00DC70E8"/>
    <w:rsid w:val="00DF28FC"/>
    <w:rsid w:val="00DF39AD"/>
    <w:rsid w:val="00DF3B1C"/>
    <w:rsid w:val="00E0541C"/>
    <w:rsid w:val="00E31922"/>
    <w:rsid w:val="00E45501"/>
    <w:rsid w:val="00E84B75"/>
    <w:rsid w:val="00EE064D"/>
    <w:rsid w:val="00EF3E92"/>
    <w:rsid w:val="00F53252"/>
    <w:rsid w:val="00FE7199"/>
    <w:rsid w:val="00FF6549"/>
    <w:rsid w:val="09821F29"/>
    <w:rsid w:val="0A400564"/>
    <w:rsid w:val="0A6F1B02"/>
    <w:rsid w:val="0F8B10CE"/>
    <w:rsid w:val="1BE66C40"/>
    <w:rsid w:val="2423153B"/>
    <w:rsid w:val="28DE3C83"/>
    <w:rsid w:val="2E424D09"/>
    <w:rsid w:val="2E6D092C"/>
    <w:rsid w:val="2EA53E15"/>
    <w:rsid w:val="369A55DA"/>
    <w:rsid w:val="3BFC4E0F"/>
    <w:rsid w:val="48D129D2"/>
    <w:rsid w:val="5079538D"/>
    <w:rsid w:val="53665670"/>
    <w:rsid w:val="5BFB6720"/>
    <w:rsid w:val="621B7570"/>
    <w:rsid w:val="643F7129"/>
    <w:rsid w:val="6B6E4AEE"/>
    <w:rsid w:val="789309AD"/>
    <w:rsid w:val="798A3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Table Text"/>
    <w:basedOn w:val="1"/>
    <w:semiHidden/>
    <w:qFormat/>
    <w:uiPriority w:val="0"/>
    <w:pPr>
      <w:widowControl/>
      <w:kinsoku w:val="0"/>
      <w:autoSpaceDE w:val="0"/>
      <w:autoSpaceDN w:val="0"/>
      <w:adjustRightInd w:val="0"/>
      <w:snapToGrid w:val="0"/>
      <w:spacing w:before="279" w:line="218" w:lineRule="auto"/>
      <w:jc w:val="left"/>
      <w:textAlignment w:val="baseline"/>
    </w:pPr>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DA0AAF9-E969-42F6-A8A4-42806D1C330E}">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2006</Words>
  <Characters>2136</Characters>
  <Lines>15</Lines>
  <Paragraphs>4</Paragraphs>
  <TotalTime>1</TotalTime>
  <ScaleCrop>false</ScaleCrop>
  <LinksUpToDate>false</LinksUpToDate>
  <CharactersWithSpaces>2139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2025-10-04T07:48:00Z</dcterms:created>
  <dc:creator>xgc</dc:creator>
  <cp:lastModifiedBy>@ming</cp:lastModifiedBy>
  <dcterms:modified xsi:type="dcterms:W3CDTF">2026-07-05T03:11:32Z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eyJoZGlkIjoiNGY5MGY4YzAzYmQyNjY4MDU4MWEyNmYwMTRmNjU0ODciLCJ1c2VySWQiOiIyNTcyMDIyNTYifQ==</vt:lpwstr>
  </property>
  <property fmtid="{D5CDD505-2E9C-101B-9397-08002B2CF9AE}" pid="3" name="KSOProductBuildVer">
    <vt:lpwstr>2052-12.1.0.26895</vt:lpwstr>
  </property>
  <property fmtid="{D5CDD505-2E9C-101B-9397-08002B2CF9AE}" pid="4" name="ICV">
    <vt:lpwstr>5C144FCA218F4BE59F49B97E5E08171D_13</vt:lpwstr>
  </property>
</Properties>
</file>